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77CC" w:rsidRDefault="00D977CC" w:rsidP="00D977CC">
      <w:pPr>
        <w:pStyle w:val="BodyText"/>
      </w:pPr>
    </w:p>
    <w:p w:rsidR="00CC41CE" w:rsidRDefault="00CC41CE" w:rsidP="00151404">
      <w:pPr>
        <w:pStyle w:val="Header"/>
        <w:rPr>
          <w:rFonts w:ascii="Arial" w:hAnsi="Arial" w:cs="Arial"/>
          <w:i/>
          <w:sz w:val="22"/>
          <w:szCs w:val="22"/>
        </w:rPr>
      </w:pPr>
    </w:p>
    <w:p w:rsidR="00455462" w:rsidRDefault="00455462" w:rsidP="00455462">
      <w:pPr>
        <w:rPr>
          <w:vanish/>
        </w:rPr>
      </w:pPr>
    </w:p>
    <w:p w:rsidR="00904393" w:rsidRPr="00455462" w:rsidRDefault="00904393" w:rsidP="00455462">
      <w:pPr>
        <w:rPr>
          <w:vanish/>
        </w:rPr>
      </w:pPr>
    </w:p>
    <w:tbl>
      <w:tblPr>
        <w:tblpPr w:leftFromText="141" w:rightFromText="141" w:horzAnchor="margin" w:tblpY="546"/>
        <w:tblW w:w="5000" w:type="pct"/>
        <w:tblBorders>
          <w:top w:val="single" w:sz="18" w:space="0" w:color="auto"/>
          <w:left w:val="single" w:sz="18" w:space="0" w:color="auto"/>
          <w:bottom w:val="single" w:sz="18" w:space="0" w:color="auto"/>
          <w:right w:val="single" w:sz="18" w:space="0" w:color="auto"/>
        </w:tblBorders>
        <w:tblLook w:val="00A0" w:firstRow="1" w:lastRow="0" w:firstColumn="1" w:lastColumn="0" w:noHBand="0" w:noVBand="0"/>
      </w:tblPr>
      <w:tblGrid>
        <w:gridCol w:w="9288"/>
      </w:tblGrid>
      <w:tr w:rsidR="00D977CC" w:rsidTr="00D977CC">
        <w:trPr>
          <w:trHeight w:val="546"/>
        </w:trPr>
        <w:tc>
          <w:tcPr>
            <w:tcW w:w="5000" w:type="pct"/>
          </w:tcPr>
          <w:p w:rsidR="00D977CC" w:rsidRDefault="00D977CC" w:rsidP="00D977CC">
            <w:pPr>
              <w:pStyle w:val="BodyText"/>
              <w:jc w:val="center"/>
              <w:rPr>
                <w:rFonts w:ascii="Arial" w:hAnsi="Arial" w:cs="Arial"/>
                <w:b/>
              </w:rPr>
            </w:pPr>
            <w:r>
              <w:rPr>
                <w:rFonts w:ascii="Arial" w:hAnsi="Arial" w:cs="Arial"/>
                <w:b/>
                <w:i/>
                <w:sz w:val="20"/>
              </w:rPr>
              <w:br w:type="page"/>
            </w:r>
            <w:r w:rsidR="00850BAF">
              <w:t xml:space="preserve"> </w:t>
            </w:r>
            <w:r w:rsidR="00850BAF" w:rsidRPr="00850BAF">
              <w:rPr>
                <w:rFonts w:ascii="Arial" w:hAnsi="Arial" w:cs="Arial"/>
                <w:b/>
              </w:rPr>
              <w:t>Žiadosť o zaradenie lieku do zoznamu kategorizovaných liekov a úradné určenie ceny lieku</w:t>
            </w:r>
          </w:p>
          <w:p w:rsidR="00FB4AFC" w:rsidRDefault="00FB4AFC" w:rsidP="00901FDF">
            <w:pPr>
              <w:pStyle w:val="BodyText"/>
              <w:rPr>
                <w:rFonts w:ascii="Arial" w:hAnsi="Arial" w:cs="Arial"/>
                <w:b/>
              </w:rPr>
            </w:pPr>
          </w:p>
          <w:p w:rsidR="00D977CC" w:rsidRDefault="00FB4AFC" w:rsidP="00FB4AFC">
            <w:pPr>
              <w:pStyle w:val="BodyText"/>
              <w:jc w:val="center"/>
              <w:rPr>
                <w:rFonts w:ascii="Arial" w:hAnsi="Arial" w:cs="Arial"/>
                <w:b/>
                <w:i/>
              </w:rPr>
            </w:pPr>
            <w:r>
              <w:rPr>
                <w:rFonts w:ascii="Arial" w:hAnsi="Arial" w:cs="Arial"/>
                <w:b/>
              </w:rPr>
              <w:t>L</w:t>
            </w:r>
            <w:r w:rsidRPr="00FB4AFC">
              <w:rPr>
                <w:rFonts w:ascii="Arial" w:hAnsi="Arial" w:cs="Arial"/>
                <w:b/>
              </w:rPr>
              <w:t>iek</w:t>
            </w:r>
            <w:r>
              <w:rPr>
                <w:rFonts w:ascii="Arial" w:hAnsi="Arial" w:cs="Arial"/>
                <w:b/>
              </w:rPr>
              <w:t>, ktorý</w:t>
            </w:r>
            <w:r w:rsidRPr="00FB4AFC">
              <w:rPr>
                <w:rFonts w:ascii="Arial" w:hAnsi="Arial" w:cs="Arial"/>
                <w:b/>
              </w:rPr>
              <w:t xml:space="preserve"> svojou charakteristikou</w:t>
            </w:r>
            <w:r>
              <w:rPr>
                <w:rFonts w:ascii="Arial" w:hAnsi="Arial" w:cs="Arial"/>
                <w:b/>
              </w:rPr>
              <w:t xml:space="preserve"> </w:t>
            </w:r>
            <w:r w:rsidRPr="00FB4AFC">
              <w:rPr>
                <w:rFonts w:ascii="Arial" w:hAnsi="Arial" w:cs="Arial"/>
                <w:b/>
              </w:rPr>
              <w:t>nepatrí do žiadnej referenčnej skupiny</w:t>
            </w:r>
            <w:r>
              <w:rPr>
                <w:rFonts w:ascii="Arial" w:hAnsi="Arial" w:cs="Arial"/>
                <w:b/>
              </w:rPr>
              <w:t xml:space="preserve"> </w:t>
            </w:r>
            <w:r w:rsidRPr="00FB4AFC">
              <w:rPr>
                <w:rFonts w:ascii="Arial" w:hAnsi="Arial" w:cs="Arial"/>
                <w:b/>
              </w:rPr>
              <w:t>zaradenej v zozname kategorizovaných liekov</w:t>
            </w:r>
          </w:p>
        </w:tc>
      </w:tr>
      <w:tr w:rsidR="00D977CC" w:rsidTr="00D977CC">
        <w:trPr>
          <w:trHeight w:val="608"/>
        </w:trPr>
        <w:tc>
          <w:tcPr>
            <w:tcW w:w="5000" w:type="pct"/>
          </w:tcPr>
          <w:p w:rsidR="00D977CC" w:rsidRDefault="00D977CC" w:rsidP="00D977CC">
            <w:pPr>
              <w:pStyle w:val="BodyText"/>
              <w:jc w:val="center"/>
              <w:rPr>
                <w:rFonts w:ascii="Arial" w:hAnsi="Arial" w:cs="Arial"/>
                <w:b/>
                <w:i/>
              </w:rPr>
            </w:pPr>
          </w:p>
          <w:p w:rsidR="00D977CC" w:rsidRDefault="00D977CC" w:rsidP="00D977CC">
            <w:pPr>
              <w:pStyle w:val="BodyText"/>
              <w:jc w:val="center"/>
              <w:rPr>
                <w:rFonts w:ascii="Arial" w:hAnsi="Arial" w:cs="Arial"/>
                <w:b/>
                <w:i/>
              </w:rPr>
            </w:pPr>
            <w:r>
              <w:rPr>
                <w:rFonts w:ascii="Arial" w:hAnsi="Arial" w:cs="Arial"/>
                <w:b/>
                <w:i/>
              </w:rPr>
              <w:t>Typ žiadosti A1N</w:t>
            </w:r>
          </w:p>
        </w:tc>
      </w:tr>
    </w:tbl>
    <w:p w:rsidR="0062568C" w:rsidRDefault="0062568C" w:rsidP="00D977CC">
      <w:pPr>
        <w:pStyle w:val="BodyText"/>
        <w:rPr>
          <w:rFonts w:ascii="Arial" w:hAnsi="Arial" w:cs="Arial"/>
          <w:b/>
          <w:sz w:val="20"/>
        </w:rPr>
      </w:pPr>
    </w:p>
    <w:p w:rsidR="007223DD" w:rsidRDefault="007223DD" w:rsidP="00D977CC">
      <w:pPr>
        <w:pStyle w:val="BodyText"/>
        <w:rPr>
          <w:rFonts w:ascii="Arial" w:hAnsi="Arial" w:cs="Arial"/>
          <w:b/>
          <w:sz w:val="20"/>
        </w:rPr>
      </w:pPr>
    </w:p>
    <w:tbl>
      <w:tblPr>
        <w:tblW w:w="9049"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3060"/>
        <w:gridCol w:w="4981"/>
      </w:tblGrid>
      <w:tr w:rsidR="007223DD" w:rsidTr="00BB41C8">
        <w:trPr>
          <w:trHeight w:val="440"/>
        </w:trPr>
        <w:tc>
          <w:tcPr>
            <w:tcW w:w="1008" w:type="dxa"/>
            <w:tcBorders>
              <w:bottom w:val="single" w:sz="4" w:space="0" w:color="auto"/>
            </w:tcBorders>
            <w:shd w:val="clear" w:color="auto" w:fill="000000"/>
            <w:vAlign w:val="center"/>
          </w:tcPr>
          <w:p w:rsidR="007223DD" w:rsidRDefault="007223DD" w:rsidP="0015107B">
            <w:pPr>
              <w:pStyle w:val="BodyText"/>
              <w:rPr>
                <w:rFonts w:ascii="Arial" w:hAnsi="Arial" w:cs="Arial"/>
                <w:b/>
                <w:sz w:val="20"/>
              </w:rPr>
            </w:pPr>
            <w:r>
              <w:rPr>
                <w:rFonts w:ascii="Arial" w:hAnsi="Arial" w:cs="Arial"/>
                <w:b/>
                <w:sz w:val="20"/>
              </w:rPr>
              <w:t xml:space="preserve">Časť A </w:t>
            </w:r>
          </w:p>
        </w:tc>
        <w:tc>
          <w:tcPr>
            <w:tcW w:w="8041" w:type="dxa"/>
            <w:gridSpan w:val="2"/>
            <w:tcBorders>
              <w:bottom w:val="single" w:sz="4" w:space="0" w:color="auto"/>
            </w:tcBorders>
            <w:vAlign w:val="center"/>
          </w:tcPr>
          <w:p w:rsidR="007223DD" w:rsidRDefault="007223DD" w:rsidP="0015107B">
            <w:pPr>
              <w:pStyle w:val="BodyText"/>
              <w:rPr>
                <w:rFonts w:ascii="Arial" w:hAnsi="Arial" w:cs="Arial"/>
                <w:b/>
                <w:sz w:val="20"/>
              </w:rPr>
            </w:pPr>
            <w:r>
              <w:rPr>
                <w:rFonts w:ascii="Arial" w:hAnsi="Arial" w:cs="Arial"/>
                <w:b/>
                <w:sz w:val="20"/>
              </w:rPr>
              <w:t>Údaje o žiadateľovi</w:t>
            </w:r>
          </w:p>
        </w:tc>
      </w:tr>
      <w:tr w:rsidR="007223DD" w:rsidTr="00BB41C8">
        <w:trPr>
          <w:trHeight w:val="382"/>
        </w:trPr>
        <w:tc>
          <w:tcPr>
            <w:tcW w:w="9049" w:type="dxa"/>
            <w:gridSpan w:val="3"/>
            <w:tcBorders>
              <w:top w:val="single" w:sz="4" w:space="0" w:color="auto"/>
              <w:bottom w:val="nil"/>
            </w:tcBorders>
            <w:vAlign w:val="center"/>
          </w:tcPr>
          <w:p w:rsidR="007223DD" w:rsidRDefault="007223DD" w:rsidP="0015107B">
            <w:pPr>
              <w:pStyle w:val="BodyText"/>
              <w:rPr>
                <w:rFonts w:ascii="Arial" w:hAnsi="Arial" w:cs="Arial"/>
                <w:b/>
                <w:bCs/>
                <w:i/>
                <w:sz w:val="20"/>
              </w:rPr>
            </w:pPr>
            <w:r>
              <w:rPr>
                <w:rFonts w:ascii="Arial" w:hAnsi="Arial" w:cs="Arial"/>
                <w:b/>
                <w:bCs/>
                <w:i/>
                <w:sz w:val="20"/>
              </w:rPr>
              <w:t>1. Držiteľ registrácie:</w:t>
            </w:r>
          </w:p>
        </w:tc>
      </w:tr>
      <w:tr w:rsidR="007223DD" w:rsidTr="00BB41C8">
        <w:trPr>
          <w:trHeight w:val="243"/>
        </w:trPr>
        <w:tc>
          <w:tcPr>
            <w:tcW w:w="4068" w:type="dxa"/>
            <w:gridSpan w:val="2"/>
            <w:tcBorders>
              <w:top w:val="nil"/>
              <w:bottom w:val="nil"/>
              <w:right w:val="nil"/>
            </w:tcBorders>
            <w:vAlign w:val="center"/>
          </w:tcPr>
          <w:p w:rsidR="007223DD" w:rsidRDefault="007223DD" w:rsidP="0015107B">
            <w:pPr>
              <w:pStyle w:val="BodyText"/>
              <w:tabs>
                <w:tab w:val="left" w:pos="3780"/>
              </w:tabs>
              <w:rPr>
                <w:rFonts w:ascii="Arial" w:hAnsi="Arial" w:cs="Arial"/>
                <w:i/>
                <w:sz w:val="20"/>
              </w:rPr>
            </w:pPr>
            <w:r>
              <w:rPr>
                <w:rFonts w:ascii="Arial" w:hAnsi="Arial" w:cs="Arial"/>
                <w:i/>
                <w:sz w:val="20"/>
              </w:rPr>
              <w:t>Meno a priezvisko alebo obchodné meno:</w:t>
            </w:r>
            <w:r>
              <w:rPr>
                <w:rFonts w:ascii="Arial" w:hAnsi="Arial" w:cs="Arial"/>
                <w:i/>
                <w:sz w:val="20"/>
              </w:rPr>
              <w:tab/>
            </w:r>
          </w:p>
        </w:tc>
        <w:tc>
          <w:tcPr>
            <w:tcW w:w="4981" w:type="dxa"/>
            <w:tcBorders>
              <w:top w:val="nil"/>
              <w:left w:val="nil"/>
              <w:bottom w:val="nil"/>
            </w:tcBorders>
          </w:tcPr>
          <w:p w:rsidR="007223DD" w:rsidRDefault="0062568C" w:rsidP="0015107B">
            <w:pPr>
              <w:pStyle w:val="BodyText"/>
              <w:tabs>
                <w:tab w:val="left" w:pos="3780"/>
              </w:tabs>
              <w:rPr>
                <w:rFonts w:ascii="Arial" w:hAnsi="Arial" w:cs="Arial"/>
                <w:b/>
                <w:iCs/>
                <w:sz w:val="20"/>
              </w:rPr>
            </w:pPr>
            <w:r w:rsidRPr="0062568C">
              <w:rPr>
                <w:rFonts w:ascii="Arial" w:hAnsi="Arial" w:cs="Arial"/>
                <w:b/>
                <w:sz w:val="20"/>
              </w:rPr>
              <w:t>Novartis Europharm Limited</w:t>
            </w:r>
          </w:p>
        </w:tc>
      </w:tr>
      <w:tr w:rsidR="007223DD" w:rsidTr="00BB41C8">
        <w:trPr>
          <w:trHeight w:val="727"/>
        </w:trPr>
        <w:tc>
          <w:tcPr>
            <w:tcW w:w="4068" w:type="dxa"/>
            <w:gridSpan w:val="2"/>
            <w:tcBorders>
              <w:top w:val="nil"/>
              <w:bottom w:val="single" w:sz="4" w:space="0" w:color="auto"/>
              <w:right w:val="nil"/>
            </w:tcBorders>
          </w:tcPr>
          <w:p w:rsidR="007223DD" w:rsidRDefault="007223DD" w:rsidP="0015107B">
            <w:pPr>
              <w:pStyle w:val="BodyText"/>
              <w:tabs>
                <w:tab w:val="left" w:pos="3780"/>
              </w:tabs>
              <w:rPr>
                <w:rFonts w:ascii="Arial" w:hAnsi="Arial" w:cs="Arial"/>
                <w:i/>
                <w:sz w:val="20"/>
              </w:rPr>
            </w:pPr>
            <w:r>
              <w:rPr>
                <w:rFonts w:ascii="Arial" w:hAnsi="Arial" w:cs="Arial"/>
                <w:i/>
                <w:sz w:val="20"/>
              </w:rPr>
              <w:t>Adresa (ulica, číslo, PSČ, mesto, štát):</w:t>
            </w:r>
          </w:p>
        </w:tc>
        <w:tc>
          <w:tcPr>
            <w:tcW w:w="4981" w:type="dxa"/>
            <w:tcBorders>
              <w:top w:val="nil"/>
              <w:left w:val="nil"/>
              <w:bottom w:val="single" w:sz="4" w:space="0" w:color="auto"/>
            </w:tcBorders>
          </w:tcPr>
          <w:p w:rsidR="0062568C" w:rsidRPr="0062568C" w:rsidRDefault="0062568C" w:rsidP="0062568C">
            <w:pPr>
              <w:pStyle w:val="BodyText"/>
              <w:tabs>
                <w:tab w:val="left" w:pos="3780"/>
              </w:tabs>
              <w:rPr>
                <w:rFonts w:ascii="Arial" w:hAnsi="Arial" w:cs="Arial"/>
                <w:b/>
                <w:sz w:val="20"/>
              </w:rPr>
            </w:pPr>
            <w:r w:rsidRPr="0062568C">
              <w:rPr>
                <w:rFonts w:ascii="Arial" w:hAnsi="Arial" w:cs="Arial"/>
                <w:b/>
                <w:sz w:val="20"/>
              </w:rPr>
              <w:t xml:space="preserve">Frimley Business Park </w:t>
            </w:r>
          </w:p>
          <w:p w:rsidR="0062568C" w:rsidRPr="0062568C" w:rsidRDefault="0062568C" w:rsidP="0062568C">
            <w:pPr>
              <w:pStyle w:val="BodyText"/>
              <w:tabs>
                <w:tab w:val="left" w:pos="3780"/>
              </w:tabs>
              <w:rPr>
                <w:rFonts w:ascii="Arial" w:hAnsi="Arial" w:cs="Arial"/>
                <w:b/>
                <w:sz w:val="20"/>
              </w:rPr>
            </w:pPr>
            <w:r w:rsidRPr="0062568C">
              <w:rPr>
                <w:rFonts w:ascii="Arial" w:hAnsi="Arial" w:cs="Arial"/>
                <w:b/>
                <w:sz w:val="20"/>
              </w:rPr>
              <w:t xml:space="preserve">Camberley GU16 7SR </w:t>
            </w:r>
          </w:p>
          <w:p w:rsidR="007223DD" w:rsidRDefault="0062568C" w:rsidP="0062568C">
            <w:pPr>
              <w:pStyle w:val="BodyText"/>
              <w:tabs>
                <w:tab w:val="left" w:pos="3780"/>
              </w:tabs>
              <w:rPr>
                <w:rFonts w:ascii="Arial" w:hAnsi="Arial" w:cs="Arial"/>
                <w:b/>
                <w:sz w:val="20"/>
              </w:rPr>
            </w:pPr>
            <w:r w:rsidRPr="0062568C">
              <w:rPr>
                <w:rFonts w:ascii="Arial" w:hAnsi="Arial" w:cs="Arial"/>
                <w:b/>
                <w:sz w:val="20"/>
              </w:rPr>
              <w:t xml:space="preserve">Veľká Británia  </w:t>
            </w:r>
          </w:p>
        </w:tc>
      </w:tr>
      <w:tr w:rsidR="007223DD" w:rsidTr="00BB41C8">
        <w:trPr>
          <w:trHeight w:val="382"/>
        </w:trPr>
        <w:tc>
          <w:tcPr>
            <w:tcW w:w="9049" w:type="dxa"/>
            <w:gridSpan w:val="3"/>
            <w:tcBorders>
              <w:top w:val="single" w:sz="4" w:space="0" w:color="auto"/>
              <w:bottom w:val="nil"/>
            </w:tcBorders>
            <w:vAlign w:val="center"/>
          </w:tcPr>
          <w:p w:rsidR="007223DD" w:rsidRDefault="007223DD" w:rsidP="0015107B">
            <w:pPr>
              <w:pStyle w:val="BodyText"/>
              <w:rPr>
                <w:rFonts w:ascii="Arial" w:hAnsi="Arial" w:cs="Arial"/>
                <w:b/>
                <w:bCs/>
                <w:i/>
                <w:sz w:val="20"/>
              </w:rPr>
            </w:pPr>
            <w:r>
              <w:rPr>
                <w:rFonts w:ascii="Arial" w:hAnsi="Arial" w:cs="Arial"/>
                <w:b/>
                <w:bCs/>
                <w:i/>
                <w:sz w:val="20"/>
              </w:rPr>
              <w:t xml:space="preserve">2. Splnomocnený zástupca držiteľa registrácie </w:t>
            </w:r>
            <w:r w:rsidRPr="00A92BF7">
              <w:rPr>
                <w:rFonts w:ascii="Arial" w:hAnsi="Arial" w:cs="Arial"/>
                <w:b/>
                <w:bCs/>
                <w:i/>
                <w:sz w:val="20"/>
              </w:rPr>
              <w:t>(ak je určený)</w:t>
            </w:r>
            <w:r>
              <w:rPr>
                <w:rFonts w:ascii="Arial" w:hAnsi="Arial" w:cs="Arial"/>
                <w:b/>
                <w:bCs/>
                <w:sz w:val="20"/>
              </w:rPr>
              <w:t>:</w:t>
            </w:r>
          </w:p>
        </w:tc>
      </w:tr>
      <w:tr w:rsidR="007223DD" w:rsidTr="00BB41C8">
        <w:trPr>
          <w:trHeight w:val="243"/>
        </w:trPr>
        <w:tc>
          <w:tcPr>
            <w:tcW w:w="4068" w:type="dxa"/>
            <w:gridSpan w:val="2"/>
            <w:tcBorders>
              <w:top w:val="nil"/>
              <w:bottom w:val="nil"/>
              <w:right w:val="nil"/>
            </w:tcBorders>
            <w:vAlign w:val="center"/>
          </w:tcPr>
          <w:p w:rsidR="007223DD" w:rsidRDefault="007223DD" w:rsidP="0015107B">
            <w:pPr>
              <w:pStyle w:val="BodyText"/>
              <w:tabs>
                <w:tab w:val="left" w:pos="3780"/>
              </w:tabs>
              <w:rPr>
                <w:rFonts w:ascii="Arial" w:hAnsi="Arial" w:cs="Arial"/>
                <w:i/>
                <w:sz w:val="20"/>
              </w:rPr>
            </w:pPr>
            <w:r>
              <w:rPr>
                <w:rFonts w:ascii="Arial" w:hAnsi="Arial" w:cs="Arial"/>
                <w:i/>
                <w:sz w:val="20"/>
              </w:rPr>
              <w:t>Meno a priezvisko alebo obchodné meno:</w:t>
            </w:r>
          </w:p>
        </w:tc>
        <w:tc>
          <w:tcPr>
            <w:tcW w:w="4981" w:type="dxa"/>
            <w:tcBorders>
              <w:top w:val="nil"/>
              <w:left w:val="nil"/>
              <w:bottom w:val="nil"/>
            </w:tcBorders>
          </w:tcPr>
          <w:p w:rsidR="007223DD" w:rsidRDefault="0062568C" w:rsidP="0015107B">
            <w:pPr>
              <w:pStyle w:val="BodyText"/>
              <w:tabs>
                <w:tab w:val="left" w:pos="3780"/>
              </w:tabs>
              <w:rPr>
                <w:rFonts w:ascii="Arial" w:hAnsi="Arial" w:cs="Arial"/>
                <w:b/>
                <w:iCs/>
                <w:sz w:val="20"/>
              </w:rPr>
            </w:pPr>
            <w:r w:rsidRPr="0062568C">
              <w:rPr>
                <w:rFonts w:ascii="Arial" w:hAnsi="Arial" w:cs="Arial"/>
                <w:b/>
                <w:iCs/>
                <w:sz w:val="20"/>
              </w:rPr>
              <w:t>Novartis Slovakia s.r.o</w:t>
            </w:r>
          </w:p>
        </w:tc>
      </w:tr>
      <w:tr w:rsidR="007223DD" w:rsidTr="00BB41C8">
        <w:trPr>
          <w:trHeight w:val="809"/>
        </w:trPr>
        <w:tc>
          <w:tcPr>
            <w:tcW w:w="4068" w:type="dxa"/>
            <w:gridSpan w:val="2"/>
            <w:tcBorders>
              <w:top w:val="nil"/>
              <w:bottom w:val="single" w:sz="4" w:space="0" w:color="auto"/>
              <w:right w:val="nil"/>
            </w:tcBorders>
          </w:tcPr>
          <w:p w:rsidR="007223DD" w:rsidRDefault="007223DD" w:rsidP="0015107B">
            <w:pPr>
              <w:pStyle w:val="BodyText"/>
              <w:tabs>
                <w:tab w:val="left" w:pos="3780"/>
              </w:tabs>
              <w:rPr>
                <w:rFonts w:ascii="Arial" w:hAnsi="Arial" w:cs="Arial"/>
                <w:i/>
                <w:sz w:val="20"/>
              </w:rPr>
            </w:pPr>
            <w:r>
              <w:rPr>
                <w:rFonts w:ascii="Arial" w:hAnsi="Arial" w:cs="Arial"/>
                <w:i/>
                <w:sz w:val="20"/>
              </w:rPr>
              <w:t>Adresa (ulica, číslo, PSČ, mesto, štát):</w:t>
            </w:r>
          </w:p>
        </w:tc>
        <w:tc>
          <w:tcPr>
            <w:tcW w:w="4981" w:type="dxa"/>
            <w:tcBorders>
              <w:top w:val="nil"/>
              <w:left w:val="nil"/>
              <w:bottom w:val="single" w:sz="4" w:space="0" w:color="auto"/>
            </w:tcBorders>
          </w:tcPr>
          <w:p w:rsidR="0062568C" w:rsidRPr="0062568C" w:rsidRDefault="0062568C" w:rsidP="0062568C">
            <w:pPr>
              <w:pStyle w:val="BodyText"/>
              <w:tabs>
                <w:tab w:val="left" w:pos="3780"/>
              </w:tabs>
              <w:rPr>
                <w:rFonts w:ascii="Arial" w:hAnsi="Arial" w:cs="Arial"/>
                <w:b/>
                <w:sz w:val="20"/>
              </w:rPr>
            </w:pPr>
            <w:r w:rsidRPr="0062568C">
              <w:rPr>
                <w:rFonts w:ascii="Arial" w:hAnsi="Arial" w:cs="Arial"/>
                <w:b/>
                <w:sz w:val="20"/>
              </w:rPr>
              <w:t>Žižkova 22B</w:t>
            </w:r>
          </w:p>
          <w:p w:rsidR="0062568C" w:rsidRPr="0062568C" w:rsidRDefault="0062568C" w:rsidP="0062568C">
            <w:pPr>
              <w:pStyle w:val="BodyText"/>
              <w:tabs>
                <w:tab w:val="left" w:pos="3780"/>
              </w:tabs>
              <w:rPr>
                <w:rFonts w:ascii="Arial" w:hAnsi="Arial" w:cs="Arial"/>
                <w:b/>
                <w:sz w:val="20"/>
              </w:rPr>
            </w:pPr>
            <w:r w:rsidRPr="0062568C">
              <w:rPr>
                <w:rFonts w:ascii="Arial" w:hAnsi="Arial" w:cs="Arial"/>
                <w:b/>
                <w:sz w:val="20"/>
              </w:rPr>
              <w:t>811 02 Bratislava</w:t>
            </w:r>
          </w:p>
          <w:p w:rsidR="007223DD" w:rsidRDefault="0062568C" w:rsidP="0062568C">
            <w:pPr>
              <w:pStyle w:val="BodyText"/>
              <w:tabs>
                <w:tab w:val="left" w:pos="3780"/>
              </w:tabs>
              <w:rPr>
                <w:rFonts w:ascii="Arial" w:hAnsi="Arial" w:cs="Arial"/>
                <w:b/>
                <w:sz w:val="20"/>
              </w:rPr>
            </w:pPr>
            <w:r w:rsidRPr="0062568C">
              <w:rPr>
                <w:rFonts w:ascii="Arial" w:hAnsi="Arial" w:cs="Arial"/>
                <w:b/>
                <w:sz w:val="20"/>
              </w:rPr>
              <w:t>Slovenská republika</w:t>
            </w:r>
          </w:p>
        </w:tc>
      </w:tr>
      <w:tr w:rsidR="007223DD" w:rsidTr="00BB41C8">
        <w:trPr>
          <w:trHeight w:val="382"/>
        </w:trPr>
        <w:tc>
          <w:tcPr>
            <w:tcW w:w="9049" w:type="dxa"/>
            <w:gridSpan w:val="3"/>
            <w:tcBorders>
              <w:top w:val="single" w:sz="4" w:space="0" w:color="auto"/>
              <w:bottom w:val="nil"/>
            </w:tcBorders>
            <w:vAlign w:val="center"/>
          </w:tcPr>
          <w:p w:rsidR="007223DD" w:rsidRDefault="007223DD" w:rsidP="0015107B">
            <w:pPr>
              <w:pStyle w:val="BodyText"/>
              <w:rPr>
                <w:rFonts w:ascii="Arial" w:hAnsi="Arial" w:cs="Arial"/>
                <w:b/>
                <w:bCs/>
                <w:i/>
                <w:sz w:val="20"/>
              </w:rPr>
            </w:pPr>
            <w:r>
              <w:rPr>
                <w:rFonts w:ascii="Arial" w:hAnsi="Arial" w:cs="Arial"/>
                <w:b/>
                <w:bCs/>
                <w:i/>
                <w:iCs/>
                <w:sz w:val="20"/>
              </w:rPr>
              <w:t>3. Osoba oprávnená konať za držiteľa registrácie:</w:t>
            </w:r>
          </w:p>
        </w:tc>
      </w:tr>
      <w:tr w:rsidR="007223DD" w:rsidTr="00BB41C8">
        <w:trPr>
          <w:trHeight w:val="240"/>
        </w:trPr>
        <w:tc>
          <w:tcPr>
            <w:tcW w:w="4068" w:type="dxa"/>
            <w:gridSpan w:val="2"/>
            <w:tcBorders>
              <w:top w:val="nil"/>
              <w:bottom w:val="nil"/>
              <w:right w:val="nil"/>
            </w:tcBorders>
            <w:vAlign w:val="center"/>
          </w:tcPr>
          <w:p w:rsidR="007223DD" w:rsidRDefault="007223DD" w:rsidP="0015107B">
            <w:pPr>
              <w:pStyle w:val="BodyText"/>
              <w:tabs>
                <w:tab w:val="left" w:pos="3780"/>
              </w:tabs>
              <w:rPr>
                <w:rFonts w:ascii="Arial" w:hAnsi="Arial" w:cs="Arial"/>
                <w:i/>
                <w:sz w:val="20"/>
              </w:rPr>
            </w:pPr>
            <w:r>
              <w:rPr>
                <w:rFonts w:ascii="Arial" w:hAnsi="Arial" w:cs="Arial"/>
                <w:i/>
                <w:sz w:val="20"/>
              </w:rPr>
              <w:t>Meno a priezvisko:</w:t>
            </w:r>
          </w:p>
        </w:tc>
        <w:tc>
          <w:tcPr>
            <w:tcW w:w="4981" w:type="dxa"/>
            <w:tcBorders>
              <w:top w:val="nil"/>
              <w:left w:val="nil"/>
              <w:bottom w:val="nil"/>
            </w:tcBorders>
          </w:tcPr>
          <w:p w:rsidR="007223DD" w:rsidRDefault="0062568C" w:rsidP="0015107B">
            <w:pPr>
              <w:pStyle w:val="BodyText"/>
              <w:tabs>
                <w:tab w:val="left" w:pos="3000"/>
                <w:tab w:val="left" w:pos="3780"/>
              </w:tabs>
              <w:rPr>
                <w:rFonts w:ascii="Arial" w:hAnsi="Arial" w:cs="Arial"/>
                <w:b/>
                <w:iCs/>
                <w:sz w:val="20"/>
              </w:rPr>
            </w:pPr>
            <w:r w:rsidRPr="0062568C">
              <w:rPr>
                <w:rFonts w:ascii="Arial" w:hAnsi="Arial" w:cs="Arial"/>
                <w:b/>
                <w:iCs/>
                <w:sz w:val="20"/>
              </w:rPr>
              <w:t>MVDr. Magdalena Petrová, MPH</w:t>
            </w:r>
          </w:p>
        </w:tc>
      </w:tr>
      <w:tr w:rsidR="007223DD" w:rsidTr="00BB41C8">
        <w:trPr>
          <w:trHeight w:val="240"/>
        </w:trPr>
        <w:tc>
          <w:tcPr>
            <w:tcW w:w="4068" w:type="dxa"/>
            <w:gridSpan w:val="2"/>
            <w:tcBorders>
              <w:top w:val="nil"/>
              <w:bottom w:val="nil"/>
              <w:right w:val="nil"/>
            </w:tcBorders>
            <w:vAlign w:val="center"/>
          </w:tcPr>
          <w:p w:rsidR="007223DD" w:rsidRDefault="007223DD" w:rsidP="0015107B">
            <w:pPr>
              <w:pStyle w:val="BodyText"/>
              <w:tabs>
                <w:tab w:val="left" w:pos="3780"/>
              </w:tabs>
              <w:rPr>
                <w:rFonts w:ascii="Arial" w:hAnsi="Arial" w:cs="Arial"/>
                <w:i/>
                <w:sz w:val="20"/>
              </w:rPr>
            </w:pPr>
            <w:r>
              <w:rPr>
                <w:rFonts w:ascii="Arial" w:hAnsi="Arial" w:cs="Arial"/>
                <w:i/>
                <w:sz w:val="20"/>
              </w:rPr>
              <w:t>E-mailová adresa:</w:t>
            </w:r>
          </w:p>
        </w:tc>
        <w:tc>
          <w:tcPr>
            <w:tcW w:w="4981" w:type="dxa"/>
            <w:tcBorders>
              <w:top w:val="nil"/>
              <w:left w:val="nil"/>
              <w:bottom w:val="nil"/>
            </w:tcBorders>
          </w:tcPr>
          <w:p w:rsidR="007223DD" w:rsidRDefault="0062568C" w:rsidP="0015107B">
            <w:pPr>
              <w:pStyle w:val="BodyText"/>
              <w:tabs>
                <w:tab w:val="left" w:pos="3780"/>
              </w:tabs>
              <w:rPr>
                <w:rFonts w:ascii="Arial" w:hAnsi="Arial" w:cs="Arial"/>
                <w:b/>
                <w:sz w:val="20"/>
              </w:rPr>
            </w:pPr>
            <w:r w:rsidRPr="0062568C">
              <w:rPr>
                <w:rFonts w:ascii="Arial" w:hAnsi="Arial" w:cs="Arial"/>
                <w:b/>
                <w:sz w:val="20"/>
              </w:rPr>
              <w:t>magdalena.petrova@novartis.com</w:t>
            </w:r>
          </w:p>
        </w:tc>
      </w:tr>
      <w:tr w:rsidR="007223DD" w:rsidTr="00BB41C8">
        <w:trPr>
          <w:trHeight w:val="240"/>
        </w:trPr>
        <w:tc>
          <w:tcPr>
            <w:tcW w:w="4068" w:type="dxa"/>
            <w:gridSpan w:val="2"/>
            <w:tcBorders>
              <w:top w:val="nil"/>
              <w:bottom w:val="single" w:sz="18" w:space="0" w:color="auto"/>
              <w:right w:val="nil"/>
            </w:tcBorders>
            <w:vAlign w:val="center"/>
          </w:tcPr>
          <w:p w:rsidR="007223DD" w:rsidRDefault="007223DD" w:rsidP="0015107B">
            <w:pPr>
              <w:pStyle w:val="BodyText"/>
              <w:tabs>
                <w:tab w:val="left" w:pos="3780"/>
              </w:tabs>
              <w:rPr>
                <w:rFonts w:ascii="Arial" w:hAnsi="Arial" w:cs="Arial"/>
                <w:i/>
                <w:sz w:val="20"/>
              </w:rPr>
            </w:pPr>
            <w:r>
              <w:rPr>
                <w:rFonts w:ascii="Arial" w:hAnsi="Arial" w:cs="Arial"/>
                <w:i/>
                <w:sz w:val="20"/>
              </w:rPr>
              <w:t>Telefónne číslo (pevná linka, mobil):</w:t>
            </w:r>
          </w:p>
        </w:tc>
        <w:tc>
          <w:tcPr>
            <w:tcW w:w="4981" w:type="dxa"/>
            <w:tcBorders>
              <w:top w:val="nil"/>
              <w:left w:val="nil"/>
              <w:bottom w:val="single" w:sz="18" w:space="0" w:color="auto"/>
            </w:tcBorders>
          </w:tcPr>
          <w:p w:rsidR="007223DD" w:rsidRDefault="0062568C" w:rsidP="0015107B">
            <w:pPr>
              <w:pStyle w:val="BodyText"/>
              <w:tabs>
                <w:tab w:val="left" w:pos="3780"/>
              </w:tabs>
              <w:rPr>
                <w:rFonts w:ascii="Arial" w:hAnsi="Arial" w:cs="Arial"/>
                <w:b/>
                <w:sz w:val="20"/>
              </w:rPr>
            </w:pPr>
            <w:r w:rsidRPr="0062568C">
              <w:rPr>
                <w:rFonts w:ascii="Arial" w:hAnsi="Arial" w:cs="Arial"/>
                <w:b/>
                <w:sz w:val="20"/>
              </w:rPr>
              <w:t>+421250706226, +421908794699</w:t>
            </w:r>
          </w:p>
        </w:tc>
      </w:tr>
    </w:tbl>
    <w:p w:rsidR="00AC535C" w:rsidRDefault="00AC535C" w:rsidP="00D977CC">
      <w:pPr>
        <w:pStyle w:val="BodyText"/>
        <w:rPr>
          <w:rFonts w:ascii="Arial" w:hAnsi="Arial" w:cs="Arial"/>
          <w:b/>
          <w:sz w:val="20"/>
        </w:rPr>
      </w:pPr>
    </w:p>
    <w:p w:rsidR="007223DD" w:rsidRDefault="007223DD" w:rsidP="00D977CC">
      <w:pPr>
        <w:pStyle w:val="BodyText"/>
        <w:rPr>
          <w:rFonts w:ascii="Arial" w:hAnsi="Arial" w:cs="Arial"/>
          <w:b/>
          <w:sz w:val="20"/>
        </w:rPr>
      </w:pPr>
    </w:p>
    <w:p w:rsidR="007223DD" w:rsidRDefault="007223DD" w:rsidP="00D977CC">
      <w:pPr>
        <w:pStyle w:val="BodyText"/>
        <w:rPr>
          <w:rFonts w:ascii="Arial" w:hAnsi="Arial" w:cs="Arial"/>
          <w:b/>
          <w:sz w:val="20"/>
        </w:rPr>
        <w:sectPr w:rsidR="007223DD" w:rsidSect="009B2161">
          <w:footerReference w:type="even" r:id="rId9"/>
          <w:footerReference w:type="default" r:id="rId10"/>
          <w:pgSz w:w="11906" w:h="16838"/>
          <w:pgMar w:top="1417" w:right="1417" w:bottom="1417" w:left="1417" w:header="708" w:footer="708" w:gutter="0"/>
          <w:pgNumType w:start="1"/>
          <w:cols w:space="708"/>
          <w:docGrid w:linePitch="360"/>
        </w:sectPr>
      </w:pPr>
    </w:p>
    <w:p w:rsidR="00AC535C" w:rsidRPr="00901FDF" w:rsidRDefault="00AC535C" w:rsidP="00D977CC">
      <w:pPr>
        <w:pStyle w:val="BodyText"/>
        <w:rPr>
          <w:rFonts w:ascii="Arial" w:hAnsi="Arial" w:cs="Arial"/>
          <w:b/>
          <w:sz w:val="20"/>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5580"/>
        <w:gridCol w:w="2638"/>
      </w:tblGrid>
      <w:tr w:rsidR="00D977CC" w:rsidTr="00D977CC">
        <w:trPr>
          <w:trHeight w:val="440"/>
        </w:trPr>
        <w:tc>
          <w:tcPr>
            <w:tcW w:w="1008" w:type="dxa"/>
            <w:tcBorders>
              <w:bottom w:val="single" w:sz="4" w:space="0" w:color="auto"/>
            </w:tcBorders>
            <w:shd w:val="clear" w:color="auto" w:fill="000000"/>
            <w:vAlign w:val="center"/>
          </w:tcPr>
          <w:p w:rsidR="00D977CC" w:rsidRDefault="00D977CC" w:rsidP="007223DD">
            <w:pPr>
              <w:pStyle w:val="BodyText"/>
              <w:rPr>
                <w:rFonts w:ascii="Arial" w:hAnsi="Arial" w:cs="Arial"/>
                <w:b/>
                <w:sz w:val="20"/>
              </w:rPr>
            </w:pPr>
            <w:r>
              <w:rPr>
                <w:rFonts w:ascii="Arial" w:hAnsi="Arial" w:cs="Arial"/>
                <w:b/>
                <w:sz w:val="20"/>
              </w:rPr>
              <w:t xml:space="preserve">Časť </w:t>
            </w:r>
            <w:r w:rsidR="007223DD">
              <w:rPr>
                <w:rFonts w:ascii="Arial" w:hAnsi="Arial" w:cs="Arial"/>
                <w:b/>
                <w:sz w:val="20"/>
              </w:rPr>
              <w:t>B</w:t>
            </w:r>
            <w:r>
              <w:rPr>
                <w:rFonts w:ascii="Arial" w:hAnsi="Arial" w:cs="Arial"/>
                <w:b/>
                <w:sz w:val="20"/>
              </w:rPr>
              <w:t xml:space="preserve"> </w:t>
            </w:r>
          </w:p>
        </w:tc>
        <w:tc>
          <w:tcPr>
            <w:tcW w:w="8218" w:type="dxa"/>
            <w:gridSpan w:val="2"/>
            <w:tcBorders>
              <w:bottom w:val="single" w:sz="4" w:space="0" w:color="auto"/>
            </w:tcBorders>
            <w:vAlign w:val="center"/>
          </w:tcPr>
          <w:p w:rsidR="00D977CC" w:rsidRDefault="007223DD" w:rsidP="00D977CC">
            <w:pPr>
              <w:pStyle w:val="BodyText"/>
              <w:rPr>
                <w:rFonts w:ascii="Arial" w:hAnsi="Arial" w:cs="Arial"/>
                <w:b/>
                <w:sz w:val="20"/>
              </w:rPr>
            </w:pPr>
            <w:r>
              <w:rPr>
                <w:rFonts w:ascii="Arial" w:hAnsi="Arial" w:cs="Arial"/>
                <w:b/>
                <w:sz w:val="20"/>
              </w:rPr>
              <w:t>Ú</w:t>
            </w:r>
            <w:r w:rsidR="00D977CC">
              <w:rPr>
                <w:rFonts w:ascii="Arial" w:hAnsi="Arial" w:cs="Arial"/>
                <w:b/>
                <w:sz w:val="20"/>
              </w:rPr>
              <w:t>daje o lieku</w:t>
            </w:r>
          </w:p>
        </w:tc>
      </w:tr>
      <w:tr w:rsidR="00D977CC" w:rsidTr="00D977CC">
        <w:trPr>
          <w:trHeight w:val="382"/>
        </w:trPr>
        <w:tc>
          <w:tcPr>
            <w:tcW w:w="9226" w:type="dxa"/>
            <w:gridSpan w:val="3"/>
            <w:tcBorders>
              <w:top w:val="single" w:sz="4" w:space="0" w:color="auto"/>
              <w:bottom w:val="nil"/>
            </w:tcBorders>
            <w:vAlign w:val="center"/>
          </w:tcPr>
          <w:p w:rsidR="00D977CC" w:rsidRDefault="007223DD" w:rsidP="007223DD">
            <w:pPr>
              <w:pStyle w:val="BodyText"/>
              <w:rPr>
                <w:rFonts w:ascii="Arial" w:hAnsi="Arial" w:cs="Arial"/>
                <w:b/>
                <w:bCs/>
                <w:i/>
                <w:sz w:val="20"/>
              </w:rPr>
            </w:pPr>
            <w:r>
              <w:rPr>
                <w:rFonts w:ascii="Arial" w:hAnsi="Arial" w:cs="Arial"/>
                <w:b/>
                <w:bCs/>
                <w:i/>
                <w:sz w:val="20"/>
              </w:rPr>
              <w:t>1</w:t>
            </w:r>
            <w:r w:rsidR="00D977CC">
              <w:rPr>
                <w:rFonts w:ascii="Arial" w:hAnsi="Arial" w:cs="Arial"/>
                <w:b/>
                <w:bCs/>
                <w:i/>
                <w:sz w:val="20"/>
              </w:rPr>
              <w:t xml:space="preserve">. </w:t>
            </w:r>
            <w:r w:rsidRPr="000349E3">
              <w:rPr>
                <w:rFonts w:ascii="Arial" w:hAnsi="Arial" w:cs="Arial"/>
                <w:b/>
                <w:bCs/>
                <w:i/>
                <w:sz w:val="20"/>
              </w:rPr>
              <w:t xml:space="preserve">Kód ŠÚKL-u, názov lieku, lieková forma, </w:t>
            </w:r>
            <w:r>
              <w:rPr>
                <w:rFonts w:ascii="Arial" w:hAnsi="Arial" w:cs="Arial"/>
                <w:b/>
                <w:bCs/>
                <w:i/>
                <w:sz w:val="20"/>
              </w:rPr>
              <w:t xml:space="preserve">cesta podania, </w:t>
            </w:r>
            <w:r w:rsidRPr="000349E3">
              <w:rPr>
                <w:rFonts w:ascii="Arial" w:hAnsi="Arial" w:cs="Arial"/>
                <w:b/>
                <w:bCs/>
                <w:i/>
                <w:sz w:val="20"/>
              </w:rPr>
              <w:t>veľkosť balenia a sila:</w:t>
            </w:r>
          </w:p>
        </w:tc>
      </w:tr>
      <w:tr w:rsidR="00D977CC" w:rsidTr="00D977CC">
        <w:trPr>
          <w:trHeight w:val="432"/>
        </w:trPr>
        <w:tc>
          <w:tcPr>
            <w:tcW w:w="9226" w:type="dxa"/>
            <w:gridSpan w:val="3"/>
            <w:tcBorders>
              <w:top w:val="nil"/>
              <w:bottom w:val="single" w:sz="4" w:space="0" w:color="auto"/>
            </w:tcBorders>
            <w:vAlign w:val="center"/>
          </w:tcPr>
          <w:p w:rsidR="00D977CC" w:rsidRDefault="00531750" w:rsidP="00531750">
            <w:pPr>
              <w:rPr>
                <w:rFonts w:ascii="Arial" w:hAnsi="Arial" w:cs="Arial"/>
                <w:b/>
                <w:sz w:val="20"/>
              </w:rPr>
            </w:pPr>
            <w:r w:rsidRPr="00531750">
              <w:rPr>
                <w:rFonts w:ascii="Arial" w:hAnsi="Arial" w:cs="Arial"/>
                <w:sz w:val="20"/>
              </w:rPr>
              <w:t>9167B</w:t>
            </w:r>
            <w:r>
              <w:rPr>
                <w:rFonts w:ascii="Arial" w:hAnsi="Arial" w:cs="Arial"/>
                <w:sz w:val="20"/>
              </w:rPr>
              <w:t xml:space="preserve">, </w:t>
            </w:r>
            <w:r w:rsidRPr="00531750">
              <w:rPr>
                <w:rFonts w:ascii="Arial" w:hAnsi="Arial" w:cs="Arial"/>
                <w:sz w:val="20"/>
              </w:rPr>
              <w:t>Jakavi 10 mg tablety</w:t>
            </w:r>
            <w:r>
              <w:rPr>
                <w:rFonts w:ascii="Arial" w:hAnsi="Arial" w:cs="Arial"/>
                <w:sz w:val="20"/>
              </w:rPr>
              <w:t xml:space="preserve">, </w:t>
            </w:r>
            <w:r w:rsidR="005E6CAF">
              <w:rPr>
                <w:rFonts w:ascii="Arial" w:hAnsi="Arial" w:cs="Arial"/>
                <w:sz w:val="20"/>
              </w:rPr>
              <w:t xml:space="preserve">p.o., </w:t>
            </w:r>
            <w:r w:rsidRPr="00531750">
              <w:rPr>
                <w:rFonts w:ascii="Arial" w:hAnsi="Arial" w:cs="Arial"/>
                <w:sz w:val="20"/>
              </w:rPr>
              <w:t xml:space="preserve">tbl 56x10 mg (blis.PVC/PCTFE/Al)  </w:t>
            </w:r>
          </w:p>
        </w:tc>
      </w:tr>
      <w:tr w:rsidR="00FC594C" w:rsidTr="00D977CC">
        <w:trPr>
          <w:trHeight w:val="432"/>
        </w:trPr>
        <w:tc>
          <w:tcPr>
            <w:tcW w:w="9226" w:type="dxa"/>
            <w:gridSpan w:val="3"/>
            <w:tcBorders>
              <w:top w:val="nil"/>
              <w:bottom w:val="single" w:sz="4" w:space="0" w:color="auto"/>
            </w:tcBorders>
            <w:vAlign w:val="center"/>
          </w:tcPr>
          <w:p w:rsidR="00FC594C" w:rsidRDefault="00FC594C" w:rsidP="00D977CC">
            <w:pPr>
              <w:pStyle w:val="BodyText"/>
              <w:rPr>
                <w:rFonts w:ascii="Arial" w:hAnsi="Arial" w:cs="Arial"/>
                <w:b/>
                <w:sz w:val="20"/>
              </w:rPr>
            </w:pPr>
            <w:r>
              <w:rPr>
                <w:rFonts w:ascii="Arial" w:hAnsi="Arial" w:cs="Arial"/>
                <w:b/>
                <w:bCs/>
                <w:i/>
                <w:sz w:val="20"/>
              </w:rPr>
              <w:t xml:space="preserve">2. ATC kód liečiva: </w:t>
            </w:r>
            <w:r w:rsidR="005E6CAF" w:rsidRPr="005E6CAF">
              <w:rPr>
                <w:rFonts w:ascii="Arial" w:hAnsi="Arial" w:cs="Arial"/>
                <w:bCs/>
                <w:sz w:val="20"/>
              </w:rPr>
              <w:t>L01XE18</w:t>
            </w:r>
          </w:p>
        </w:tc>
      </w:tr>
      <w:tr w:rsidR="00695C25" w:rsidTr="00D977CC">
        <w:trPr>
          <w:trHeight w:val="432"/>
        </w:trPr>
        <w:tc>
          <w:tcPr>
            <w:tcW w:w="9226" w:type="dxa"/>
            <w:gridSpan w:val="3"/>
            <w:tcBorders>
              <w:top w:val="nil"/>
              <w:bottom w:val="single" w:sz="4" w:space="0" w:color="auto"/>
            </w:tcBorders>
            <w:vAlign w:val="center"/>
          </w:tcPr>
          <w:p w:rsidR="00695C25" w:rsidRDefault="00FC594C" w:rsidP="00FC594C">
            <w:pPr>
              <w:pStyle w:val="BodyText"/>
              <w:rPr>
                <w:rFonts w:ascii="Arial" w:hAnsi="Arial" w:cs="Arial"/>
                <w:b/>
                <w:sz w:val="20"/>
              </w:rPr>
            </w:pPr>
            <w:r>
              <w:rPr>
                <w:rFonts w:ascii="Arial" w:hAnsi="Arial" w:cs="Arial"/>
                <w:b/>
                <w:bCs/>
                <w:i/>
                <w:sz w:val="20"/>
              </w:rPr>
              <w:t>3</w:t>
            </w:r>
            <w:r w:rsidR="00695C25">
              <w:rPr>
                <w:rFonts w:ascii="Arial" w:hAnsi="Arial" w:cs="Arial"/>
                <w:b/>
                <w:bCs/>
                <w:i/>
                <w:sz w:val="20"/>
              </w:rPr>
              <w:t xml:space="preserve">. </w:t>
            </w:r>
            <w:r>
              <w:rPr>
                <w:rFonts w:ascii="Arial" w:hAnsi="Arial" w:cs="Arial"/>
                <w:b/>
                <w:bCs/>
                <w:i/>
                <w:sz w:val="20"/>
              </w:rPr>
              <w:t>Identifikácia lieku uvedením položky alebo podpoložky</w:t>
            </w:r>
            <w:r>
              <w:rPr>
                <w:rFonts w:ascii="Arial" w:hAnsi="Arial" w:cs="Arial"/>
                <w:b/>
                <w:i/>
                <w:sz w:val="20"/>
              </w:rPr>
              <w:t xml:space="preserve"> </w:t>
            </w:r>
            <w:r w:rsidR="00056F8C">
              <w:rPr>
                <w:rFonts w:ascii="Arial" w:hAnsi="Arial" w:cs="Arial"/>
                <w:b/>
                <w:i/>
                <w:sz w:val="20"/>
              </w:rPr>
              <w:t>colného sadzobníka</w:t>
            </w:r>
            <w:r w:rsidR="00695C25">
              <w:rPr>
                <w:rFonts w:ascii="Arial" w:hAnsi="Arial" w:cs="Arial"/>
                <w:b/>
                <w:bCs/>
                <w:i/>
                <w:sz w:val="20"/>
              </w:rPr>
              <w:t>:</w:t>
            </w:r>
            <w:r>
              <w:rPr>
                <w:rFonts w:ascii="Arial" w:hAnsi="Arial" w:cs="Arial"/>
                <w:b/>
                <w:bCs/>
                <w:i/>
                <w:sz w:val="20"/>
              </w:rPr>
              <w:t xml:space="preserve"> </w:t>
            </w:r>
            <w:r w:rsidR="005E6CAF" w:rsidRPr="005E6CAF">
              <w:rPr>
                <w:rFonts w:ascii="Arial" w:hAnsi="Arial" w:cs="Arial"/>
                <w:sz w:val="20"/>
              </w:rPr>
              <w:t>3004 9000</w:t>
            </w:r>
          </w:p>
        </w:tc>
      </w:tr>
      <w:tr w:rsidR="00D977CC" w:rsidTr="00D977CC">
        <w:trPr>
          <w:trHeight w:val="397"/>
        </w:trPr>
        <w:tc>
          <w:tcPr>
            <w:tcW w:w="9226" w:type="dxa"/>
            <w:gridSpan w:val="3"/>
            <w:tcBorders>
              <w:top w:val="single" w:sz="4" w:space="0" w:color="auto"/>
              <w:bottom w:val="nil"/>
            </w:tcBorders>
            <w:vAlign w:val="center"/>
          </w:tcPr>
          <w:p w:rsidR="00D977CC" w:rsidRDefault="00D51245" w:rsidP="00056F8C">
            <w:pPr>
              <w:pStyle w:val="BodyText"/>
              <w:spacing w:line="360" w:lineRule="auto"/>
              <w:rPr>
                <w:rFonts w:ascii="Arial" w:hAnsi="Arial" w:cs="Arial"/>
                <w:b/>
                <w:i/>
                <w:sz w:val="20"/>
              </w:rPr>
            </w:pPr>
            <w:r>
              <w:rPr>
                <w:rFonts w:ascii="Arial" w:hAnsi="Arial" w:cs="Arial"/>
                <w:b/>
                <w:bCs/>
                <w:i/>
                <w:sz w:val="20"/>
              </w:rPr>
              <w:t>4</w:t>
            </w:r>
            <w:r w:rsidR="00D977CC">
              <w:rPr>
                <w:rFonts w:ascii="Arial" w:hAnsi="Arial" w:cs="Arial"/>
                <w:b/>
                <w:bCs/>
                <w:i/>
                <w:sz w:val="20"/>
              </w:rPr>
              <w:t>.</w:t>
            </w:r>
            <w:r w:rsidR="00D977CC">
              <w:t xml:space="preserve"> </w:t>
            </w:r>
            <w:r w:rsidR="00D977CC">
              <w:rPr>
                <w:rFonts w:ascii="Arial" w:hAnsi="Arial" w:cs="Arial"/>
                <w:b/>
                <w:i/>
                <w:sz w:val="20"/>
              </w:rPr>
              <w:t>Kvalitatívne a kvantitatívne zloženie lieku s uvedením všetkých v ňom obsiahnutých liečiv:</w:t>
            </w:r>
          </w:p>
          <w:p w:rsidR="005E6CAF" w:rsidRPr="005E6CAF" w:rsidRDefault="005E6CAF" w:rsidP="005E6CAF">
            <w:pPr>
              <w:pStyle w:val="BodyText"/>
              <w:spacing w:line="360" w:lineRule="auto"/>
              <w:rPr>
                <w:rFonts w:ascii="Arial" w:hAnsi="Arial" w:cs="Arial"/>
                <w:bCs/>
                <w:sz w:val="20"/>
              </w:rPr>
            </w:pPr>
            <w:r w:rsidRPr="005E6CAF">
              <w:rPr>
                <w:rFonts w:ascii="Arial" w:hAnsi="Arial" w:cs="Arial"/>
                <w:bCs/>
                <w:sz w:val="20"/>
              </w:rPr>
              <w:t xml:space="preserve">Každá tableta obsahuje 10 mg </w:t>
            </w:r>
            <w:r w:rsidR="00AC530E" w:rsidRPr="005E6CAF">
              <w:rPr>
                <w:rFonts w:ascii="Arial" w:hAnsi="Arial" w:cs="Arial"/>
                <w:bCs/>
                <w:sz w:val="20"/>
              </w:rPr>
              <w:t>ruxolitinib</w:t>
            </w:r>
            <w:r w:rsidR="00AC530E">
              <w:rPr>
                <w:rFonts w:ascii="Arial" w:hAnsi="Arial" w:cs="Arial"/>
                <w:bCs/>
                <w:sz w:val="20"/>
              </w:rPr>
              <w:t>u</w:t>
            </w:r>
            <w:r w:rsidRPr="005E6CAF">
              <w:rPr>
                <w:rFonts w:ascii="Arial" w:hAnsi="Arial" w:cs="Arial"/>
                <w:bCs/>
                <w:sz w:val="20"/>
              </w:rPr>
              <w:t xml:space="preserve"> (ako fosfátu).</w:t>
            </w:r>
          </w:p>
          <w:p w:rsidR="005E6CAF" w:rsidRPr="005E6CAF" w:rsidRDefault="005E6CAF" w:rsidP="005E6CAF">
            <w:pPr>
              <w:pStyle w:val="BodyText"/>
              <w:spacing w:line="360" w:lineRule="auto"/>
              <w:rPr>
                <w:rFonts w:ascii="Arial" w:hAnsi="Arial" w:cs="Arial"/>
                <w:bCs/>
                <w:sz w:val="20"/>
              </w:rPr>
            </w:pPr>
            <w:r w:rsidRPr="005E6CAF">
              <w:rPr>
                <w:rFonts w:ascii="Arial" w:hAnsi="Arial" w:cs="Arial"/>
                <w:bCs/>
                <w:sz w:val="20"/>
              </w:rPr>
              <w:t>Pomocná látka so známym účinkom:</w:t>
            </w:r>
          </w:p>
          <w:p w:rsidR="00D51245" w:rsidRDefault="005E6CAF" w:rsidP="005E6CAF">
            <w:pPr>
              <w:pStyle w:val="BodyText"/>
              <w:spacing w:line="360" w:lineRule="auto"/>
              <w:rPr>
                <w:rFonts w:ascii="Arial" w:hAnsi="Arial" w:cs="Arial"/>
                <w:b/>
                <w:bCs/>
                <w:i/>
                <w:sz w:val="20"/>
              </w:rPr>
            </w:pPr>
            <w:r w:rsidRPr="005E6CAF">
              <w:rPr>
                <w:rFonts w:ascii="Arial" w:hAnsi="Arial" w:cs="Arial"/>
                <w:bCs/>
                <w:sz w:val="20"/>
              </w:rPr>
              <w:t>Každá tableta obsahuje 142,90 mg monohydrátu laktózy</w:t>
            </w:r>
          </w:p>
        </w:tc>
      </w:tr>
      <w:tr w:rsidR="00D977CC" w:rsidTr="00D977CC">
        <w:trPr>
          <w:trHeight w:val="1005"/>
        </w:trPr>
        <w:tc>
          <w:tcPr>
            <w:tcW w:w="9226" w:type="dxa"/>
            <w:gridSpan w:val="3"/>
            <w:tcBorders>
              <w:top w:val="single" w:sz="4" w:space="0" w:color="auto"/>
              <w:bottom w:val="nil"/>
            </w:tcBorders>
            <w:vAlign w:val="center"/>
          </w:tcPr>
          <w:p w:rsidR="00D977CC" w:rsidRDefault="00053BE9" w:rsidP="00D977CC">
            <w:pPr>
              <w:pStyle w:val="BodyText"/>
              <w:spacing w:line="360" w:lineRule="auto"/>
              <w:rPr>
                <w:rFonts w:ascii="Arial" w:hAnsi="Arial" w:cs="Arial"/>
                <w:b/>
                <w:bCs/>
                <w:i/>
                <w:sz w:val="20"/>
              </w:rPr>
            </w:pPr>
            <w:r>
              <w:rPr>
                <w:rFonts w:ascii="Arial" w:hAnsi="Arial" w:cs="Arial"/>
                <w:b/>
                <w:bCs/>
                <w:i/>
                <w:sz w:val="20"/>
              </w:rPr>
              <w:t>5. Typ lieku</w:t>
            </w:r>
            <w:r w:rsidR="00D977CC">
              <w:rPr>
                <w:rFonts w:ascii="Arial" w:hAnsi="Arial" w:cs="Arial"/>
                <w:b/>
                <w:bCs/>
                <w:i/>
                <w:sz w:val="20"/>
              </w:rPr>
              <w:t>:</w:t>
            </w:r>
          </w:p>
          <w:p w:rsidR="00D977CC" w:rsidRDefault="005E6CAF" w:rsidP="00D977CC">
            <w:pPr>
              <w:pStyle w:val="BodyText"/>
              <w:spacing w:line="360" w:lineRule="auto"/>
              <w:rPr>
                <w:rFonts w:ascii="Arial" w:hAnsi="Arial" w:cs="Arial"/>
                <w:i/>
                <w:sz w:val="20"/>
              </w:rPr>
            </w:pPr>
            <w:r>
              <w:rPr>
                <w:rFonts w:ascii="Arial" w:hAnsi="Arial" w:cs="Arial"/>
                <w:i/>
                <w:sz w:val="20"/>
              </w:rPr>
              <w:fldChar w:fldCharType="begin">
                <w:ffData>
                  <w:name w:val="x"/>
                  <w:enabled/>
                  <w:calcOnExit w:val="0"/>
                  <w:checkBox>
                    <w:sizeAuto/>
                    <w:default w:val="1"/>
                  </w:checkBox>
                </w:ffData>
              </w:fldChar>
            </w:r>
            <w:bookmarkStart w:id="0" w:name="x"/>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bookmarkEnd w:id="0"/>
            <w:r w:rsidR="00D977CC">
              <w:rPr>
                <w:rFonts w:ascii="Arial" w:hAnsi="Arial" w:cs="Arial"/>
                <w:i/>
                <w:sz w:val="20"/>
              </w:rPr>
              <w:t xml:space="preserve"> </w:t>
            </w:r>
            <w:r w:rsidR="00D977CC">
              <w:rPr>
                <w:rFonts w:ascii="Arial" w:hAnsi="Arial" w:cs="Arial"/>
                <w:b/>
                <w:i/>
                <w:sz w:val="20"/>
              </w:rPr>
              <w:t>ORIGINÁLNY LIEK</w:t>
            </w:r>
          </w:p>
          <w:p w:rsidR="00421DAA" w:rsidRDefault="00421DAA" w:rsidP="00421DAA">
            <w:pPr>
              <w:pStyle w:val="BodyText"/>
              <w:spacing w:line="360" w:lineRule="auto"/>
              <w:contextualSpacing/>
              <w:rPr>
                <w:rFonts w:ascii="Arial" w:hAnsi="Arial" w:cs="Arial"/>
                <w:b/>
                <w:i/>
                <w:sz w:val="20"/>
              </w:rPr>
            </w:pPr>
            <w:r>
              <w:rPr>
                <w:rFonts w:ascii="Arial" w:hAnsi="Arial" w:cs="Arial"/>
                <w:i/>
                <w:sz w:val="20"/>
              </w:rPr>
              <w:fldChar w:fldCharType="begin">
                <w:ffData>
                  <w:name w:val=""/>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sidRPr="00B40DFB">
              <w:rPr>
                <w:rFonts w:ascii="Arial" w:hAnsi="Arial" w:cs="Arial"/>
                <w:b/>
                <w:i/>
                <w:sz w:val="20"/>
              </w:rPr>
              <w:t>1. GENERICKÝ</w:t>
            </w:r>
            <w:r>
              <w:rPr>
                <w:rFonts w:ascii="Arial" w:hAnsi="Arial" w:cs="Arial"/>
                <w:b/>
                <w:i/>
                <w:sz w:val="20"/>
              </w:rPr>
              <w:t xml:space="preserve"> LIEK</w:t>
            </w:r>
          </w:p>
          <w:p w:rsidR="00421DAA" w:rsidRDefault="00421DAA" w:rsidP="00421DAA">
            <w:pPr>
              <w:pStyle w:val="BodyText"/>
              <w:spacing w:line="360" w:lineRule="auto"/>
              <w:contextualSpacing/>
              <w:rPr>
                <w:rFonts w:ascii="Arial" w:hAnsi="Arial" w:cs="Arial"/>
                <w:i/>
                <w:sz w:val="20"/>
              </w:rPr>
            </w:pPr>
            <w:r>
              <w:rPr>
                <w:rFonts w:ascii="Arial" w:hAnsi="Arial" w:cs="Arial"/>
                <w:i/>
                <w:sz w:val="20"/>
              </w:rPr>
              <w:fldChar w:fldCharType="begin">
                <w:ffData>
                  <w:name w:val="x"/>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Pr>
                <w:rFonts w:ascii="Arial" w:hAnsi="Arial" w:cs="Arial"/>
                <w:b/>
                <w:i/>
                <w:sz w:val="20"/>
              </w:rPr>
              <w:t>2</w:t>
            </w:r>
            <w:r w:rsidRPr="00B40DFB">
              <w:rPr>
                <w:rFonts w:ascii="Arial" w:hAnsi="Arial" w:cs="Arial"/>
                <w:b/>
                <w:i/>
                <w:sz w:val="20"/>
              </w:rPr>
              <w:t>. GENERICKÝ</w:t>
            </w:r>
            <w:r>
              <w:rPr>
                <w:rFonts w:ascii="Arial" w:hAnsi="Arial" w:cs="Arial"/>
                <w:b/>
                <w:i/>
                <w:sz w:val="20"/>
              </w:rPr>
              <w:t xml:space="preserve"> LIEK</w:t>
            </w:r>
          </w:p>
          <w:p w:rsidR="00421DAA" w:rsidRDefault="00421DAA" w:rsidP="00421DAA">
            <w:pPr>
              <w:pStyle w:val="BodyText"/>
              <w:spacing w:line="360" w:lineRule="auto"/>
              <w:contextualSpacing/>
              <w:rPr>
                <w:rFonts w:ascii="Arial" w:hAnsi="Arial" w:cs="Arial"/>
                <w:b/>
                <w:i/>
                <w:sz w:val="20"/>
              </w:rPr>
            </w:pPr>
            <w:r>
              <w:rPr>
                <w:rFonts w:ascii="Arial" w:hAnsi="Arial" w:cs="Arial"/>
                <w:i/>
                <w:sz w:val="20"/>
              </w:rPr>
              <w:fldChar w:fldCharType="begin">
                <w:ffData>
                  <w:name w:val=""/>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Pr>
                <w:rFonts w:ascii="Arial" w:hAnsi="Arial" w:cs="Arial"/>
                <w:b/>
                <w:i/>
                <w:sz w:val="20"/>
              </w:rPr>
              <w:t>3</w:t>
            </w:r>
            <w:r w:rsidRPr="00B40DFB">
              <w:rPr>
                <w:rFonts w:ascii="Arial" w:hAnsi="Arial" w:cs="Arial"/>
                <w:b/>
                <w:i/>
                <w:sz w:val="20"/>
              </w:rPr>
              <w:t>. GENERICKÝ</w:t>
            </w:r>
            <w:r>
              <w:rPr>
                <w:rFonts w:ascii="Arial" w:hAnsi="Arial" w:cs="Arial"/>
                <w:b/>
                <w:i/>
                <w:sz w:val="20"/>
              </w:rPr>
              <w:t xml:space="preserve"> LIEK</w:t>
            </w:r>
          </w:p>
          <w:p w:rsidR="00421DAA" w:rsidRDefault="00421DAA" w:rsidP="00421DAA">
            <w:pPr>
              <w:pStyle w:val="BodyText"/>
              <w:spacing w:line="360" w:lineRule="auto"/>
              <w:contextualSpacing/>
              <w:rPr>
                <w:rFonts w:ascii="Arial" w:hAnsi="Arial" w:cs="Arial"/>
                <w:i/>
                <w:sz w:val="20"/>
              </w:rPr>
            </w:pPr>
            <w:r>
              <w:rPr>
                <w:rFonts w:ascii="Arial" w:hAnsi="Arial" w:cs="Arial"/>
                <w:i/>
                <w:sz w:val="20"/>
              </w:rPr>
              <w:fldChar w:fldCharType="begin">
                <w:ffData>
                  <w:name w:val="x"/>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sidRPr="00B40DFB">
              <w:rPr>
                <w:rFonts w:ascii="Arial" w:hAnsi="Arial" w:cs="Arial"/>
                <w:b/>
                <w:i/>
                <w:sz w:val="20"/>
              </w:rPr>
              <w:t xml:space="preserve">1. </w:t>
            </w:r>
            <w:r>
              <w:rPr>
                <w:rFonts w:ascii="Arial" w:hAnsi="Arial" w:cs="Arial"/>
                <w:b/>
                <w:i/>
                <w:sz w:val="20"/>
              </w:rPr>
              <w:t>BIOLOGICKY PODOBNÝ LIEK</w:t>
            </w:r>
          </w:p>
          <w:p w:rsidR="00421DAA" w:rsidRPr="00B40DFB" w:rsidRDefault="00421DAA" w:rsidP="00421DAA">
            <w:pPr>
              <w:pStyle w:val="BodyText"/>
              <w:spacing w:line="360" w:lineRule="auto"/>
              <w:contextualSpacing/>
              <w:rPr>
                <w:rFonts w:ascii="Arial" w:hAnsi="Arial" w:cs="Arial"/>
                <w:i/>
                <w:sz w:val="20"/>
              </w:rPr>
            </w:pPr>
            <w:r>
              <w:rPr>
                <w:rFonts w:ascii="Arial" w:hAnsi="Arial" w:cs="Arial"/>
                <w:i/>
                <w:sz w:val="20"/>
              </w:rPr>
              <w:lastRenderedPageBreak/>
              <w:fldChar w:fldCharType="begin">
                <w:ffData>
                  <w:name w:val=""/>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Pr>
                <w:rFonts w:ascii="Arial" w:hAnsi="Arial" w:cs="Arial"/>
                <w:b/>
                <w:i/>
                <w:sz w:val="20"/>
              </w:rPr>
              <w:t>2</w:t>
            </w:r>
            <w:r w:rsidRPr="00B40DFB">
              <w:rPr>
                <w:rFonts w:ascii="Arial" w:hAnsi="Arial" w:cs="Arial"/>
                <w:b/>
                <w:i/>
                <w:sz w:val="20"/>
              </w:rPr>
              <w:t xml:space="preserve">. </w:t>
            </w:r>
            <w:r>
              <w:rPr>
                <w:rFonts w:ascii="Arial" w:hAnsi="Arial" w:cs="Arial"/>
                <w:b/>
                <w:i/>
                <w:sz w:val="20"/>
              </w:rPr>
              <w:t>BIOLOGICKY PODOBNÝ LIEK</w:t>
            </w:r>
          </w:p>
          <w:p w:rsidR="007B44C5" w:rsidRPr="00421DAA" w:rsidRDefault="00421DAA" w:rsidP="00496BE4">
            <w:pPr>
              <w:pStyle w:val="BodyText"/>
              <w:spacing w:line="360" w:lineRule="auto"/>
              <w:contextualSpacing/>
              <w:rPr>
                <w:rFonts w:ascii="Arial" w:hAnsi="Arial" w:cs="Arial"/>
                <w:i/>
                <w:sz w:val="20"/>
              </w:rPr>
            </w:pPr>
            <w:r>
              <w:rPr>
                <w:rFonts w:ascii="Arial" w:hAnsi="Arial" w:cs="Arial"/>
                <w:i/>
                <w:sz w:val="20"/>
              </w:rPr>
              <w:fldChar w:fldCharType="begin">
                <w:ffData>
                  <w:name w:val="x"/>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Pr>
                <w:rFonts w:ascii="Arial" w:hAnsi="Arial" w:cs="Arial"/>
                <w:b/>
                <w:i/>
                <w:sz w:val="20"/>
              </w:rPr>
              <w:t>3</w:t>
            </w:r>
            <w:r w:rsidRPr="00B40DFB">
              <w:rPr>
                <w:rFonts w:ascii="Arial" w:hAnsi="Arial" w:cs="Arial"/>
                <w:b/>
                <w:i/>
                <w:sz w:val="20"/>
              </w:rPr>
              <w:t xml:space="preserve">. </w:t>
            </w:r>
            <w:r>
              <w:rPr>
                <w:rFonts w:ascii="Arial" w:hAnsi="Arial" w:cs="Arial"/>
                <w:b/>
                <w:i/>
                <w:sz w:val="20"/>
              </w:rPr>
              <w:t>BIOLOGICKY PODOBNÝ LIEK</w:t>
            </w:r>
          </w:p>
        </w:tc>
      </w:tr>
      <w:tr w:rsidR="00D977CC" w:rsidTr="00D977CC">
        <w:trPr>
          <w:trHeight w:val="382"/>
        </w:trPr>
        <w:tc>
          <w:tcPr>
            <w:tcW w:w="6588" w:type="dxa"/>
            <w:gridSpan w:val="2"/>
            <w:tcBorders>
              <w:top w:val="single" w:sz="4" w:space="0" w:color="auto"/>
              <w:bottom w:val="nil"/>
              <w:right w:val="nil"/>
            </w:tcBorders>
            <w:vAlign w:val="center"/>
          </w:tcPr>
          <w:p w:rsidR="00D977CC" w:rsidRDefault="00053BE9" w:rsidP="00D977CC">
            <w:pPr>
              <w:pStyle w:val="BodyText"/>
              <w:rPr>
                <w:rFonts w:ascii="Arial" w:hAnsi="Arial" w:cs="Arial"/>
                <w:b/>
                <w:bCs/>
                <w:i/>
                <w:sz w:val="20"/>
              </w:rPr>
            </w:pPr>
            <w:r>
              <w:rPr>
                <w:rFonts w:ascii="Arial" w:hAnsi="Arial" w:cs="Arial"/>
                <w:b/>
                <w:bCs/>
                <w:i/>
                <w:sz w:val="20"/>
              </w:rPr>
              <w:lastRenderedPageBreak/>
              <w:t>6</w:t>
            </w:r>
            <w:r w:rsidR="00D977CC">
              <w:rPr>
                <w:rFonts w:ascii="Arial" w:hAnsi="Arial" w:cs="Arial"/>
                <w:b/>
                <w:bCs/>
                <w:i/>
                <w:sz w:val="20"/>
              </w:rPr>
              <w:t>. Registračné číslo</w:t>
            </w:r>
            <w:r w:rsidR="00D977CC">
              <w:rPr>
                <w:rFonts w:ascii="Arial" w:hAnsi="Arial" w:cs="Arial"/>
                <w:b/>
                <w:bCs/>
                <w:sz w:val="20"/>
              </w:rPr>
              <w:t>:</w:t>
            </w:r>
          </w:p>
        </w:tc>
        <w:tc>
          <w:tcPr>
            <w:tcW w:w="2638" w:type="dxa"/>
            <w:tcBorders>
              <w:top w:val="single" w:sz="4" w:space="0" w:color="auto"/>
              <w:left w:val="nil"/>
              <w:bottom w:val="nil"/>
            </w:tcBorders>
            <w:vAlign w:val="center"/>
          </w:tcPr>
          <w:p w:rsidR="00D977CC" w:rsidRDefault="005E6CAF" w:rsidP="00D977CC">
            <w:pPr>
              <w:pStyle w:val="BodyText"/>
              <w:rPr>
                <w:rFonts w:ascii="Arial" w:hAnsi="Arial" w:cs="Arial"/>
                <w:b/>
                <w:bCs/>
                <w:sz w:val="20"/>
              </w:rPr>
            </w:pPr>
            <w:r w:rsidRPr="005E6CAF">
              <w:rPr>
                <w:rFonts w:ascii="Arial" w:hAnsi="Arial" w:cs="Arial"/>
                <w:b/>
                <w:bCs/>
                <w:sz w:val="20"/>
              </w:rPr>
              <w:t>EU/1/12/773/015</w:t>
            </w:r>
          </w:p>
        </w:tc>
      </w:tr>
      <w:tr w:rsidR="00D977CC" w:rsidTr="00D977CC">
        <w:trPr>
          <w:trHeight w:val="243"/>
        </w:trPr>
        <w:tc>
          <w:tcPr>
            <w:tcW w:w="6588" w:type="dxa"/>
            <w:gridSpan w:val="2"/>
            <w:tcBorders>
              <w:top w:val="nil"/>
              <w:bottom w:val="single" w:sz="4" w:space="0" w:color="auto"/>
              <w:right w:val="nil"/>
            </w:tcBorders>
            <w:vAlign w:val="center"/>
          </w:tcPr>
          <w:p w:rsidR="00D977CC" w:rsidRDefault="00D977CC" w:rsidP="00D977CC">
            <w:pPr>
              <w:pStyle w:val="BodyText"/>
              <w:tabs>
                <w:tab w:val="left" w:pos="3780"/>
              </w:tabs>
              <w:rPr>
                <w:rFonts w:ascii="Arial" w:hAnsi="Arial" w:cs="Arial"/>
                <w:i/>
                <w:sz w:val="20"/>
              </w:rPr>
            </w:pPr>
            <w:r>
              <w:rPr>
                <w:rFonts w:ascii="Arial" w:hAnsi="Arial" w:cs="Arial"/>
                <w:i/>
                <w:sz w:val="20"/>
              </w:rPr>
              <w:t>Dátum ukončenia platnosti rozhodnutia o registrácii lieku:</w:t>
            </w:r>
          </w:p>
        </w:tc>
        <w:tc>
          <w:tcPr>
            <w:tcW w:w="2638" w:type="dxa"/>
            <w:tcBorders>
              <w:top w:val="nil"/>
              <w:left w:val="nil"/>
              <w:bottom w:val="single" w:sz="4" w:space="0" w:color="auto"/>
            </w:tcBorders>
          </w:tcPr>
          <w:p w:rsidR="00D977CC" w:rsidRDefault="00997D68" w:rsidP="00D977CC">
            <w:pPr>
              <w:pStyle w:val="BodyText"/>
              <w:tabs>
                <w:tab w:val="left" w:pos="3780"/>
              </w:tabs>
              <w:rPr>
                <w:rFonts w:ascii="Arial" w:hAnsi="Arial" w:cs="Arial"/>
                <w:b/>
                <w:sz w:val="20"/>
              </w:rPr>
            </w:pPr>
            <w:r>
              <w:rPr>
                <w:rFonts w:ascii="Arial" w:hAnsi="Arial" w:cs="Arial"/>
                <w:b/>
                <w:sz w:val="20"/>
              </w:rPr>
              <w:t>Bez obmedzenia</w:t>
            </w:r>
          </w:p>
        </w:tc>
      </w:tr>
      <w:tr w:rsidR="00D977CC" w:rsidTr="00D977CC">
        <w:trPr>
          <w:trHeight w:val="382"/>
        </w:trPr>
        <w:tc>
          <w:tcPr>
            <w:tcW w:w="6588" w:type="dxa"/>
            <w:gridSpan w:val="2"/>
            <w:tcBorders>
              <w:top w:val="single" w:sz="4" w:space="0" w:color="auto"/>
              <w:bottom w:val="nil"/>
              <w:right w:val="nil"/>
            </w:tcBorders>
            <w:vAlign w:val="center"/>
          </w:tcPr>
          <w:p w:rsidR="00D977CC" w:rsidRDefault="00053BE9" w:rsidP="00053BE9">
            <w:pPr>
              <w:pStyle w:val="BodyText"/>
              <w:rPr>
                <w:rFonts w:ascii="Arial" w:hAnsi="Arial" w:cs="Arial"/>
                <w:b/>
                <w:bCs/>
                <w:i/>
                <w:sz w:val="20"/>
              </w:rPr>
            </w:pPr>
            <w:r>
              <w:rPr>
                <w:rFonts w:ascii="Arial" w:hAnsi="Arial" w:cs="Arial"/>
                <w:b/>
                <w:bCs/>
                <w:i/>
                <w:sz w:val="20"/>
              </w:rPr>
              <w:t>7</w:t>
            </w:r>
            <w:r w:rsidR="00D977CC">
              <w:rPr>
                <w:rFonts w:ascii="Arial" w:hAnsi="Arial" w:cs="Arial"/>
                <w:b/>
                <w:bCs/>
                <w:i/>
                <w:sz w:val="20"/>
              </w:rPr>
              <w:t xml:space="preserve">. </w:t>
            </w:r>
            <w:r w:rsidR="00ED7AB4">
              <w:rPr>
                <w:rFonts w:ascii="Arial" w:hAnsi="Arial" w:cs="Arial"/>
                <w:b/>
                <w:bCs/>
                <w:i/>
                <w:sz w:val="20"/>
              </w:rPr>
              <w:t>N</w:t>
            </w:r>
            <w:r w:rsidR="00ED7AB4" w:rsidRPr="00ED7AB4">
              <w:rPr>
                <w:rFonts w:ascii="Arial" w:hAnsi="Arial" w:cs="Arial"/>
                <w:b/>
                <w:bCs/>
                <w:i/>
                <w:sz w:val="20"/>
              </w:rPr>
              <w:t>ávrh úradne určenej ceny lieku</w:t>
            </w:r>
            <w:r w:rsidR="00ED7AB4">
              <w:rPr>
                <w:rFonts w:ascii="Arial" w:hAnsi="Arial" w:cs="Arial"/>
                <w:b/>
                <w:bCs/>
                <w:i/>
                <w:sz w:val="20"/>
              </w:rPr>
              <w:t xml:space="preserve"> </w:t>
            </w:r>
            <w:r w:rsidR="0091093E">
              <w:rPr>
                <w:rFonts w:ascii="Arial" w:hAnsi="Arial" w:cs="Arial"/>
                <w:b/>
                <w:bCs/>
                <w:i/>
                <w:sz w:val="20"/>
              </w:rPr>
              <w:t>(</w:t>
            </w:r>
            <w:r w:rsidR="00ED7AB4">
              <w:rPr>
                <w:rFonts w:ascii="Arial" w:hAnsi="Arial" w:cs="Arial"/>
                <w:b/>
                <w:bCs/>
                <w:i/>
                <w:sz w:val="20"/>
              </w:rPr>
              <w:t>cena od výrobcu</w:t>
            </w:r>
            <w:r w:rsidR="0091093E">
              <w:rPr>
                <w:rFonts w:ascii="Arial" w:hAnsi="Arial" w:cs="Arial"/>
                <w:b/>
                <w:bCs/>
                <w:i/>
                <w:sz w:val="20"/>
              </w:rPr>
              <w:t xml:space="preserve"> alebo dovozcu)</w:t>
            </w:r>
            <w:r w:rsidR="00D977CC">
              <w:rPr>
                <w:rFonts w:ascii="Arial" w:hAnsi="Arial" w:cs="Arial"/>
                <w:b/>
                <w:bCs/>
                <w:i/>
                <w:sz w:val="20"/>
              </w:rPr>
              <w:t>:</w:t>
            </w:r>
          </w:p>
        </w:tc>
        <w:tc>
          <w:tcPr>
            <w:tcW w:w="2638" w:type="dxa"/>
            <w:tcBorders>
              <w:top w:val="single" w:sz="4" w:space="0" w:color="auto"/>
              <w:left w:val="nil"/>
              <w:bottom w:val="nil"/>
            </w:tcBorders>
            <w:vAlign w:val="center"/>
          </w:tcPr>
          <w:p w:rsidR="00D977CC" w:rsidRDefault="002D6BFD" w:rsidP="00D977CC">
            <w:pPr>
              <w:pStyle w:val="BodyText"/>
              <w:rPr>
                <w:rFonts w:ascii="Arial" w:hAnsi="Arial" w:cs="Arial"/>
                <w:b/>
                <w:bCs/>
                <w:sz w:val="20"/>
              </w:rPr>
            </w:pPr>
            <w:r w:rsidRPr="00EA6231">
              <w:rPr>
                <w:rFonts w:ascii="Arial" w:hAnsi="Arial" w:cs="Arial"/>
                <w:b/>
                <w:bCs/>
                <w:sz w:val="20"/>
              </w:rPr>
              <w:t xml:space="preserve">2 909,62 </w:t>
            </w:r>
            <w:r w:rsidR="007844E9" w:rsidRPr="00EA6231">
              <w:rPr>
                <w:rFonts w:ascii="Arial" w:hAnsi="Arial" w:cs="Arial"/>
                <w:b/>
                <w:bCs/>
                <w:sz w:val="20"/>
              </w:rPr>
              <w:t>€</w:t>
            </w:r>
          </w:p>
        </w:tc>
      </w:tr>
      <w:tr w:rsidR="00D977CC" w:rsidTr="00D977CC">
        <w:trPr>
          <w:trHeight w:val="382"/>
        </w:trPr>
        <w:tc>
          <w:tcPr>
            <w:tcW w:w="6588" w:type="dxa"/>
            <w:gridSpan w:val="2"/>
            <w:tcBorders>
              <w:top w:val="single" w:sz="4" w:space="0" w:color="auto"/>
              <w:bottom w:val="single" w:sz="18" w:space="0" w:color="auto"/>
              <w:right w:val="nil"/>
            </w:tcBorders>
            <w:vAlign w:val="center"/>
          </w:tcPr>
          <w:p w:rsidR="00D977CC" w:rsidRDefault="00053BE9" w:rsidP="0091093E">
            <w:pPr>
              <w:pStyle w:val="BodyText"/>
              <w:rPr>
                <w:rFonts w:ascii="Arial" w:hAnsi="Arial" w:cs="Arial"/>
                <w:b/>
                <w:bCs/>
                <w:i/>
                <w:sz w:val="20"/>
              </w:rPr>
            </w:pPr>
            <w:r>
              <w:rPr>
                <w:rFonts w:ascii="Arial" w:hAnsi="Arial" w:cs="Arial"/>
                <w:b/>
                <w:bCs/>
                <w:i/>
                <w:sz w:val="20"/>
              </w:rPr>
              <w:t>8</w:t>
            </w:r>
            <w:r w:rsidR="00D977CC">
              <w:rPr>
                <w:rFonts w:ascii="Arial" w:hAnsi="Arial" w:cs="Arial"/>
                <w:b/>
                <w:bCs/>
                <w:i/>
                <w:sz w:val="20"/>
              </w:rPr>
              <w:t xml:space="preserve">. </w:t>
            </w:r>
            <w:r w:rsidR="0091093E">
              <w:rPr>
                <w:rFonts w:ascii="Arial" w:hAnsi="Arial" w:cs="Arial"/>
                <w:b/>
                <w:bCs/>
                <w:i/>
                <w:sz w:val="20"/>
              </w:rPr>
              <w:t xml:space="preserve">Prepočet </w:t>
            </w:r>
            <w:r>
              <w:rPr>
                <w:rFonts w:ascii="Arial" w:hAnsi="Arial" w:cs="Arial"/>
                <w:b/>
                <w:bCs/>
                <w:i/>
                <w:sz w:val="20"/>
              </w:rPr>
              <w:t xml:space="preserve">navrhovanej </w:t>
            </w:r>
            <w:r w:rsidR="0091093E">
              <w:rPr>
                <w:rFonts w:ascii="Arial" w:hAnsi="Arial" w:cs="Arial"/>
                <w:b/>
                <w:bCs/>
                <w:i/>
                <w:sz w:val="20"/>
              </w:rPr>
              <w:t>úradne určenej ceny</w:t>
            </w:r>
            <w:r w:rsidR="00D977CC">
              <w:rPr>
                <w:rFonts w:ascii="Arial" w:hAnsi="Arial" w:cs="Arial"/>
                <w:b/>
                <w:bCs/>
                <w:i/>
                <w:sz w:val="20"/>
              </w:rPr>
              <w:t xml:space="preserve"> na maximálnu cenu lieku v</w:t>
            </w:r>
            <w:r w:rsidR="0091093E">
              <w:rPr>
                <w:rFonts w:ascii="Arial" w:hAnsi="Arial" w:cs="Arial"/>
                <w:b/>
                <w:bCs/>
                <w:i/>
                <w:sz w:val="20"/>
              </w:rPr>
              <w:t>o verejnej</w:t>
            </w:r>
            <w:r w:rsidR="00D977CC">
              <w:rPr>
                <w:rFonts w:ascii="Arial" w:hAnsi="Arial" w:cs="Arial"/>
                <w:b/>
                <w:bCs/>
                <w:i/>
                <w:sz w:val="20"/>
              </w:rPr>
              <w:t> lekárni:</w:t>
            </w:r>
          </w:p>
        </w:tc>
        <w:tc>
          <w:tcPr>
            <w:tcW w:w="2638" w:type="dxa"/>
            <w:tcBorders>
              <w:top w:val="single" w:sz="4" w:space="0" w:color="auto"/>
              <w:left w:val="nil"/>
              <w:bottom w:val="single" w:sz="18" w:space="0" w:color="auto"/>
            </w:tcBorders>
            <w:vAlign w:val="center"/>
          </w:tcPr>
          <w:p w:rsidR="00D977CC" w:rsidRDefault="0056175A" w:rsidP="000E350E">
            <w:pPr>
              <w:pStyle w:val="BodyText"/>
              <w:rPr>
                <w:rFonts w:ascii="Arial" w:hAnsi="Arial" w:cs="Arial"/>
                <w:b/>
                <w:bCs/>
                <w:sz w:val="20"/>
              </w:rPr>
            </w:pPr>
            <w:r w:rsidRPr="0056175A">
              <w:rPr>
                <w:rFonts w:ascii="Arial" w:hAnsi="Arial" w:cs="Arial"/>
                <w:b/>
                <w:bCs/>
                <w:sz w:val="20"/>
              </w:rPr>
              <w:t>3</w:t>
            </w:r>
            <w:r>
              <w:rPr>
                <w:rFonts w:ascii="Arial" w:hAnsi="Arial" w:cs="Arial"/>
                <w:b/>
                <w:bCs/>
                <w:sz w:val="20"/>
              </w:rPr>
              <w:t xml:space="preserve"> </w:t>
            </w:r>
            <w:r w:rsidRPr="0056175A">
              <w:rPr>
                <w:rFonts w:ascii="Arial" w:hAnsi="Arial" w:cs="Arial"/>
                <w:b/>
                <w:bCs/>
                <w:sz w:val="20"/>
              </w:rPr>
              <w:t xml:space="preserve">402,99 </w:t>
            </w:r>
            <w:r w:rsidR="007844E9" w:rsidRPr="007844E9">
              <w:rPr>
                <w:rFonts w:ascii="Arial" w:hAnsi="Arial" w:cs="Arial"/>
                <w:b/>
                <w:bCs/>
                <w:sz w:val="20"/>
              </w:rPr>
              <w:t>€</w:t>
            </w:r>
          </w:p>
        </w:tc>
      </w:tr>
    </w:tbl>
    <w:p w:rsidR="00DB121E" w:rsidRDefault="00DB121E" w:rsidP="00D977CC">
      <w:pPr>
        <w:rPr>
          <w:rFonts w:ascii="Arial" w:hAnsi="Arial" w:cs="Arial"/>
          <w:sz w:val="20"/>
          <w:szCs w:val="20"/>
        </w:rPr>
      </w:pPr>
    </w:p>
    <w:p w:rsidR="00AC535C" w:rsidRDefault="00AC535C" w:rsidP="00D977CC">
      <w:pPr>
        <w:rPr>
          <w:rFonts w:ascii="Arial" w:hAnsi="Arial" w:cs="Arial"/>
          <w:sz w:val="20"/>
          <w:szCs w:val="20"/>
        </w:rPr>
      </w:pPr>
    </w:p>
    <w:tbl>
      <w:tblPr>
        <w:tblW w:w="92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5580"/>
        <w:gridCol w:w="2638"/>
      </w:tblGrid>
      <w:tr w:rsidR="00D977CC" w:rsidTr="00DB121E">
        <w:trPr>
          <w:trHeight w:val="440"/>
        </w:trPr>
        <w:tc>
          <w:tcPr>
            <w:tcW w:w="1008" w:type="dxa"/>
            <w:tcBorders>
              <w:bottom w:val="single" w:sz="4" w:space="0" w:color="auto"/>
            </w:tcBorders>
            <w:shd w:val="clear" w:color="auto" w:fill="000000"/>
            <w:vAlign w:val="center"/>
          </w:tcPr>
          <w:p w:rsidR="00D977CC" w:rsidRDefault="00AC535C" w:rsidP="00757316">
            <w:pPr>
              <w:pStyle w:val="BodyText"/>
              <w:rPr>
                <w:rFonts w:ascii="Arial" w:hAnsi="Arial" w:cs="Arial"/>
                <w:b/>
                <w:sz w:val="20"/>
              </w:rPr>
            </w:pPr>
            <w:r>
              <w:rPr>
                <w:rFonts w:ascii="Arial" w:hAnsi="Arial" w:cs="Arial"/>
                <w:b/>
                <w:sz w:val="20"/>
              </w:rPr>
              <w:t xml:space="preserve">Časť </w:t>
            </w:r>
            <w:r w:rsidR="00757316">
              <w:rPr>
                <w:rFonts w:ascii="Arial" w:hAnsi="Arial" w:cs="Arial"/>
                <w:b/>
                <w:sz w:val="20"/>
              </w:rPr>
              <w:t>C</w:t>
            </w:r>
            <w:r w:rsidR="00D977CC">
              <w:rPr>
                <w:rFonts w:ascii="Arial" w:hAnsi="Arial" w:cs="Arial"/>
                <w:b/>
                <w:sz w:val="20"/>
              </w:rPr>
              <w:t xml:space="preserve"> </w:t>
            </w:r>
          </w:p>
        </w:tc>
        <w:tc>
          <w:tcPr>
            <w:tcW w:w="8218" w:type="dxa"/>
            <w:gridSpan w:val="2"/>
            <w:tcBorders>
              <w:bottom w:val="single" w:sz="4" w:space="0" w:color="auto"/>
            </w:tcBorders>
            <w:vAlign w:val="center"/>
          </w:tcPr>
          <w:p w:rsidR="00D977CC" w:rsidRDefault="00D977CC" w:rsidP="00D977CC">
            <w:pPr>
              <w:pStyle w:val="BodyText"/>
              <w:rPr>
                <w:rFonts w:ascii="Arial" w:hAnsi="Arial" w:cs="Arial"/>
                <w:b/>
                <w:sz w:val="20"/>
              </w:rPr>
            </w:pPr>
            <w:r>
              <w:rPr>
                <w:rFonts w:ascii="Arial" w:hAnsi="Arial" w:cs="Arial"/>
                <w:b/>
                <w:sz w:val="20"/>
              </w:rPr>
              <w:t>Štandardná dávka liečiva (ŠDL)</w:t>
            </w:r>
          </w:p>
        </w:tc>
      </w:tr>
      <w:tr w:rsidR="00D977CC" w:rsidTr="00DB121E">
        <w:trPr>
          <w:trHeight w:val="382"/>
        </w:trPr>
        <w:tc>
          <w:tcPr>
            <w:tcW w:w="6588" w:type="dxa"/>
            <w:gridSpan w:val="2"/>
            <w:tcBorders>
              <w:top w:val="single" w:sz="4" w:space="0" w:color="auto"/>
              <w:bottom w:val="single" w:sz="4" w:space="0" w:color="auto"/>
              <w:right w:val="nil"/>
            </w:tcBorders>
            <w:vAlign w:val="center"/>
          </w:tcPr>
          <w:p w:rsidR="00D977CC" w:rsidRPr="00E76A8E" w:rsidRDefault="00D977CC" w:rsidP="00A900FE">
            <w:pPr>
              <w:pStyle w:val="BodyText"/>
              <w:rPr>
                <w:rFonts w:ascii="Arial" w:hAnsi="Arial" w:cs="Arial"/>
                <w:b/>
                <w:bCs/>
                <w:i/>
                <w:sz w:val="20"/>
              </w:rPr>
            </w:pPr>
            <w:r w:rsidRPr="00E76A8E">
              <w:rPr>
                <w:rFonts w:ascii="Arial" w:hAnsi="Arial" w:cs="Arial"/>
                <w:b/>
                <w:bCs/>
                <w:i/>
                <w:sz w:val="20"/>
              </w:rPr>
              <w:t>1. Veľkosť dennej definovanej dávky</w:t>
            </w:r>
            <w:r w:rsidR="00A900FE">
              <w:rPr>
                <w:rFonts w:ascii="Arial" w:hAnsi="Arial" w:cs="Arial"/>
                <w:b/>
                <w:bCs/>
                <w:i/>
                <w:sz w:val="20"/>
              </w:rPr>
              <w:t xml:space="preserve"> </w:t>
            </w:r>
            <w:r w:rsidRPr="00E76A8E">
              <w:rPr>
                <w:rFonts w:ascii="Arial" w:hAnsi="Arial" w:cs="Arial"/>
                <w:b/>
                <w:bCs/>
                <w:i/>
                <w:sz w:val="20"/>
              </w:rPr>
              <w:t>(DDD) určenej Svetovou zdravotníckou organizáciou:</w:t>
            </w:r>
          </w:p>
        </w:tc>
        <w:tc>
          <w:tcPr>
            <w:tcW w:w="2638" w:type="dxa"/>
            <w:tcBorders>
              <w:top w:val="single" w:sz="4" w:space="0" w:color="auto"/>
              <w:left w:val="nil"/>
              <w:bottom w:val="single" w:sz="4" w:space="0" w:color="auto"/>
            </w:tcBorders>
            <w:vAlign w:val="center"/>
          </w:tcPr>
          <w:p w:rsidR="00D977CC" w:rsidRDefault="00F44D0E" w:rsidP="00D977CC">
            <w:pPr>
              <w:pStyle w:val="BodyText"/>
              <w:rPr>
                <w:rFonts w:ascii="Arial" w:hAnsi="Arial" w:cs="Arial"/>
                <w:b/>
                <w:bCs/>
                <w:sz w:val="20"/>
              </w:rPr>
            </w:pPr>
            <w:r>
              <w:rPr>
                <w:rFonts w:ascii="Arial" w:hAnsi="Arial" w:cs="Arial"/>
                <w:b/>
                <w:bCs/>
                <w:sz w:val="20"/>
              </w:rPr>
              <w:t>Nie je určená</w:t>
            </w:r>
          </w:p>
        </w:tc>
      </w:tr>
      <w:tr w:rsidR="00D977CC" w:rsidTr="00EA6231">
        <w:trPr>
          <w:trHeight w:val="382"/>
        </w:trPr>
        <w:tc>
          <w:tcPr>
            <w:tcW w:w="6588" w:type="dxa"/>
            <w:gridSpan w:val="2"/>
            <w:tcBorders>
              <w:top w:val="single" w:sz="4" w:space="0" w:color="auto"/>
              <w:bottom w:val="single" w:sz="4" w:space="0" w:color="auto"/>
              <w:right w:val="nil"/>
            </w:tcBorders>
            <w:vAlign w:val="center"/>
          </w:tcPr>
          <w:p w:rsidR="00D977CC" w:rsidRPr="00E76A8E" w:rsidRDefault="00D977CC" w:rsidP="00D977CC">
            <w:pPr>
              <w:pStyle w:val="BodyText"/>
              <w:rPr>
                <w:rFonts w:ascii="Arial" w:hAnsi="Arial" w:cs="Arial"/>
                <w:b/>
                <w:bCs/>
                <w:i/>
                <w:sz w:val="20"/>
              </w:rPr>
            </w:pPr>
            <w:r w:rsidRPr="00E76A8E">
              <w:rPr>
                <w:rFonts w:ascii="Arial" w:hAnsi="Arial" w:cs="Arial"/>
                <w:b/>
                <w:bCs/>
                <w:i/>
                <w:sz w:val="20"/>
              </w:rPr>
              <w:t>2. Návrh veľkosti ŠDL:</w:t>
            </w:r>
          </w:p>
        </w:tc>
        <w:tc>
          <w:tcPr>
            <w:tcW w:w="2638" w:type="dxa"/>
            <w:tcBorders>
              <w:top w:val="single" w:sz="4" w:space="0" w:color="auto"/>
              <w:left w:val="nil"/>
              <w:bottom w:val="single" w:sz="4" w:space="0" w:color="auto"/>
            </w:tcBorders>
            <w:shd w:val="clear" w:color="auto" w:fill="auto"/>
            <w:vAlign w:val="center"/>
          </w:tcPr>
          <w:p w:rsidR="00D977CC" w:rsidRPr="007844E9" w:rsidRDefault="0056175A" w:rsidP="00D977CC">
            <w:pPr>
              <w:pStyle w:val="BodyText"/>
              <w:rPr>
                <w:rFonts w:ascii="Arial" w:hAnsi="Arial" w:cs="Arial"/>
                <w:b/>
                <w:bCs/>
                <w:sz w:val="20"/>
                <w:highlight w:val="yellow"/>
              </w:rPr>
            </w:pPr>
            <w:r w:rsidRPr="00EA6231">
              <w:rPr>
                <w:rFonts w:ascii="Arial" w:hAnsi="Arial" w:cs="Arial"/>
                <w:b/>
                <w:bCs/>
                <w:sz w:val="20"/>
              </w:rPr>
              <w:t>2 DF</w:t>
            </w:r>
            <w:r w:rsidR="007844E9" w:rsidRPr="00EA6231">
              <w:rPr>
                <w:rFonts w:ascii="Arial" w:hAnsi="Arial" w:cs="Arial"/>
                <w:b/>
                <w:bCs/>
                <w:sz w:val="20"/>
              </w:rPr>
              <w:t xml:space="preserve"> </w:t>
            </w:r>
          </w:p>
        </w:tc>
      </w:tr>
      <w:tr w:rsidR="00DB121E" w:rsidTr="00EA6231">
        <w:trPr>
          <w:trHeight w:val="382"/>
        </w:trPr>
        <w:tc>
          <w:tcPr>
            <w:tcW w:w="6588" w:type="dxa"/>
            <w:gridSpan w:val="2"/>
            <w:tcBorders>
              <w:top w:val="single" w:sz="4" w:space="0" w:color="auto"/>
              <w:bottom w:val="single" w:sz="4" w:space="0" w:color="auto"/>
              <w:right w:val="nil"/>
            </w:tcBorders>
            <w:vAlign w:val="center"/>
          </w:tcPr>
          <w:p w:rsidR="00DB121E" w:rsidRPr="00E76A8E" w:rsidRDefault="00DB121E" w:rsidP="00D977CC">
            <w:pPr>
              <w:pStyle w:val="BodyText"/>
              <w:rPr>
                <w:rFonts w:ascii="Arial" w:hAnsi="Arial" w:cs="Arial"/>
                <w:b/>
                <w:bCs/>
                <w:i/>
                <w:sz w:val="20"/>
              </w:rPr>
            </w:pPr>
            <w:r w:rsidRPr="00E76A8E">
              <w:rPr>
                <w:rFonts w:ascii="Arial" w:hAnsi="Arial" w:cs="Arial"/>
                <w:b/>
                <w:bCs/>
                <w:i/>
                <w:sz w:val="20"/>
              </w:rPr>
              <w:t>3. Počet navrhovaných ŠDL v jednom balení lieku:</w:t>
            </w:r>
          </w:p>
        </w:tc>
        <w:tc>
          <w:tcPr>
            <w:tcW w:w="2638" w:type="dxa"/>
            <w:tcBorders>
              <w:top w:val="single" w:sz="4" w:space="0" w:color="auto"/>
              <w:left w:val="nil"/>
              <w:bottom w:val="single" w:sz="4" w:space="0" w:color="auto"/>
            </w:tcBorders>
            <w:shd w:val="clear" w:color="auto" w:fill="auto"/>
            <w:vAlign w:val="center"/>
          </w:tcPr>
          <w:p w:rsidR="00DB121E" w:rsidRPr="007844E9" w:rsidRDefault="007844E9" w:rsidP="00D977CC">
            <w:pPr>
              <w:pStyle w:val="BodyText"/>
              <w:rPr>
                <w:rFonts w:ascii="Arial" w:hAnsi="Arial" w:cs="Arial"/>
                <w:b/>
                <w:bCs/>
                <w:sz w:val="20"/>
                <w:highlight w:val="yellow"/>
              </w:rPr>
            </w:pPr>
            <w:r w:rsidRPr="00EA6231">
              <w:rPr>
                <w:rFonts w:ascii="Arial" w:hAnsi="Arial" w:cs="Arial"/>
                <w:b/>
                <w:sz w:val="20"/>
              </w:rPr>
              <w:t>28</w:t>
            </w:r>
          </w:p>
        </w:tc>
      </w:tr>
      <w:tr w:rsidR="00DB121E" w:rsidTr="00901FDF">
        <w:trPr>
          <w:trHeight w:val="382"/>
        </w:trPr>
        <w:tc>
          <w:tcPr>
            <w:tcW w:w="9226" w:type="dxa"/>
            <w:gridSpan w:val="3"/>
            <w:tcBorders>
              <w:top w:val="single" w:sz="4" w:space="0" w:color="auto"/>
              <w:bottom w:val="nil"/>
            </w:tcBorders>
            <w:vAlign w:val="center"/>
          </w:tcPr>
          <w:p w:rsidR="00DB121E" w:rsidRDefault="00DB121E" w:rsidP="002B3574">
            <w:pPr>
              <w:pStyle w:val="BodyText"/>
              <w:rPr>
                <w:rFonts w:ascii="Arial" w:hAnsi="Arial" w:cs="Arial"/>
                <w:b/>
                <w:bCs/>
                <w:i/>
                <w:sz w:val="20"/>
              </w:rPr>
            </w:pPr>
            <w:r>
              <w:rPr>
                <w:rFonts w:ascii="Arial" w:hAnsi="Arial" w:cs="Arial"/>
                <w:b/>
                <w:bCs/>
                <w:i/>
                <w:sz w:val="20"/>
              </w:rPr>
              <w:t xml:space="preserve">4. </w:t>
            </w:r>
            <w:r w:rsidR="002B3574">
              <w:rPr>
                <w:rFonts w:ascii="Arial" w:hAnsi="Arial" w:cs="Arial"/>
                <w:b/>
                <w:bCs/>
                <w:i/>
                <w:sz w:val="20"/>
              </w:rPr>
              <w:t>O</w:t>
            </w:r>
            <w:r w:rsidRPr="00DB121E">
              <w:rPr>
                <w:rFonts w:ascii="Arial" w:hAnsi="Arial" w:cs="Arial"/>
                <w:b/>
                <w:bCs/>
                <w:i/>
                <w:sz w:val="20"/>
              </w:rPr>
              <w:t>dôvodnenie návrhu štandardnej dávky liečiva, ak sa návrh odlišuje od dennej definovanej dávky liečiva určenej Svetovou zdravotníckou organizáciou</w:t>
            </w:r>
            <w:r w:rsidR="0091093E">
              <w:rPr>
                <w:rFonts w:ascii="Arial" w:hAnsi="Arial" w:cs="Arial"/>
                <w:b/>
                <w:bCs/>
                <w:i/>
                <w:sz w:val="20"/>
              </w:rPr>
              <w:t>:</w:t>
            </w:r>
          </w:p>
        </w:tc>
      </w:tr>
      <w:tr w:rsidR="00DB121E" w:rsidTr="00901FDF">
        <w:trPr>
          <w:trHeight w:val="300"/>
        </w:trPr>
        <w:tc>
          <w:tcPr>
            <w:tcW w:w="9226" w:type="dxa"/>
            <w:gridSpan w:val="3"/>
            <w:tcBorders>
              <w:top w:val="nil"/>
              <w:bottom w:val="single" w:sz="12" w:space="0" w:color="auto"/>
            </w:tcBorders>
          </w:tcPr>
          <w:p w:rsidR="00DB121E" w:rsidRDefault="00EB5525" w:rsidP="00D977CC">
            <w:pPr>
              <w:pStyle w:val="BodyText"/>
              <w:rPr>
                <w:rFonts w:ascii="Arial" w:hAnsi="Arial" w:cs="Arial"/>
                <w:sz w:val="20"/>
              </w:rPr>
            </w:pPr>
            <w:r w:rsidRPr="00EB5525">
              <w:rPr>
                <w:rFonts w:ascii="Arial" w:hAnsi="Arial" w:cs="Arial"/>
                <w:sz w:val="20"/>
              </w:rPr>
              <w:t>Podľa Vyhlášky MZ SR č. 435/2011 Z.z. § 3 odsek (1) písmeno a) „Štandardná dávka liečiva sa určuje ako technická jednotka vyjadrujúca a) priemernú dávku liečiva použitú v terapeutickej indikácii na jeden deň liečby alebo jeden cyklus liečby“.</w:t>
            </w:r>
          </w:p>
          <w:p w:rsidR="00F3138B" w:rsidRDefault="00F3138B" w:rsidP="00D977CC">
            <w:pPr>
              <w:pStyle w:val="BodyText"/>
              <w:rPr>
                <w:rFonts w:ascii="Arial" w:hAnsi="Arial" w:cs="Arial"/>
                <w:sz w:val="20"/>
              </w:rPr>
            </w:pPr>
          </w:p>
          <w:p w:rsidR="00AC530E" w:rsidRPr="00EB5525" w:rsidRDefault="00F3138B" w:rsidP="003831CA">
            <w:pPr>
              <w:pStyle w:val="BodyText"/>
              <w:rPr>
                <w:rFonts w:ascii="Arial" w:hAnsi="Arial" w:cs="Arial"/>
                <w:sz w:val="20"/>
              </w:rPr>
            </w:pPr>
            <w:r w:rsidRPr="00AC530E">
              <w:rPr>
                <w:rFonts w:ascii="Arial" w:hAnsi="Arial" w:cs="Arial"/>
                <w:b/>
                <w:bCs/>
                <w:sz w:val="20"/>
              </w:rPr>
              <w:t xml:space="preserve">Návrh ŠDL na úrovni 2 DF </w:t>
            </w:r>
            <w:r w:rsidR="00AC530E" w:rsidRPr="00AC530E">
              <w:rPr>
                <w:rFonts w:ascii="Arial" w:hAnsi="Arial" w:cs="Arial"/>
                <w:b/>
                <w:bCs/>
                <w:sz w:val="20"/>
              </w:rPr>
              <w:t xml:space="preserve">(t.j. 2 tablety) vyjadruje priemernú dávku liečiva ruxolitinibu pre všetky registrované indikácie lieku Jakavi – pre polycytémiu vera aj pre </w:t>
            </w:r>
            <w:r w:rsidR="003831CA">
              <w:rPr>
                <w:rFonts w:ascii="Arial" w:hAnsi="Arial" w:cs="Arial"/>
                <w:b/>
                <w:bCs/>
                <w:sz w:val="20"/>
              </w:rPr>
              <w:t>m</w:t>
            </w:r>
            <w:r w:rsidR="003831CA" w:rsidRPr="003831CA">
              <w:rPr>
                <w:rFonts w:ascii="Arial" w:hAnsi="Arial" w:cs="Arial"/>
                <w:b/>
                <w:bCs/>
                <w:sz w:val="20"/>
              </w:rPr>
              <w:t>yelofibróz</w:t>
            </w:r>
            <w:r w:rsidR="003831CA">
              <w:rPr>
                <w:rFonts w:ascii="Arial" w:hAnsi="Arial" w:cs="Arial"/>
                <w:b/>
                <w:bCs/>
                <w:sz w:val="20"/>
              </w:rPr>
              <w:t>u.</w:t>
            </w:r>
          </w:p>
        </w:tc>
      </w:tr>
    </w:tbl>
    <w:p w:rsidR="00D977CC" w:rsidRDefault="00D977CC" w:rsidP="00D977CC">
      <w:pPr>
        <w:pStyle w:val="BodyText"/>
        <w:rPr>
          <w:rFonts w:ascii="Arial" w:hAnsi="Arial" w:cs="Arial"/>
          <w:sz w:val="20"/>
        </w:rPr>
      </w:pPr>
    </w:p>
    <w:p w:rsidR="00AC535C" w:rsidRDefault="00AC535C" w:rsidP="00D977CC">
      <w:pPr>
        <w:pStyle w:val="BodyText"/>
        <w:rPr>
          <w:rFonts w:ascii="Arial" w:hAnsi="Arial" w:cs="Arial"/>
          <w:sz w:val="20"/>
        </w:rPr>
      </w:pPr>
    </w:p>
    <w:tbl>
      <w:tblPr>
        <w:tblW w:w="92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8218"/>
      </w:tblGrid>
      <w:tr w:rsidR="00D977CC" w:rsidTr="001E6A20">
        <w:trPr>
          <w:trHeight w:val="440"/>
        </w:trPr>
        <w:tc>
          <w:tcPr>
            <w:tcW w:w="1008" w:type="dxa"/>
            <w:tcBorders>
              <w:top w:val="single" w:sz="18" w:space="0" w:color="auto"/>
              <w:bottom w:val="single" w:sz="4" w:space="0" w:color="auto"/>
            </w:tcBorders>
            <w:shd w:val="clear" w:color="auto" w:fill="000000"/>
            <w:vAlign w:val="center"/>
          </w:tcPr>
          <w:p w:rsidR="00D977CC" w:rsidRDefault="00AC535C" w:rsidP="001B1EDA">
            <w:pPr>
              <w:pStyle w:val="BodyText"/>
              <w:rPr>
                <w:rFonts w:ascii="Arial" w:hAnsi="Arial" w:cs="Arial"/>
                <w:b/>
                <w:sz w:val="20"/>
              </w:rPr>
            </w:pPr>
            <w:r>
              <w:rPr>
                <w:rFonts w:ascii="Arial" w:hAnsi="Arial" w:cs="Arial"/>
                <w:b/>
                <w:sz w:val="20"/>
              </w:rPr>
              <w:t xml:space="preserve">Časť </w:t>
            </w:r>
            <w:r w:rsidR="001B1EDA">
              <w:rPr>
                <w:rFonts w:ascii="Arial" w:hAnsi="Arial" w:cs="Arial"/>
                <w:b/>
                <w:sz w:val="20"/>
              </w:rPr>
              <w:t>D</w:t>
            </w:r>
          </w:p>
        </w:tc>
        <w:tc>
          <w:tcPr>
            <w:tcW w:w="8218" w:type="dxa"/>
            <w:tcBorders>
              <w:top w:val="single" w:sz="18" w:space="0" w:color="auto"/>
              <w:bottom w:val="single" w:sz="4" w:space="0" w:color="auto"/>
            </w:tcBorders>
            <w:vAlign w:val="center"/>
          </w:tcPr>
          <w:p w:rsidR="00D977CC" w:rsidRDefault="0087213D" w:rsidP="0087213D">
            <w:pPr>
              <w:pStyle w:val="BodyText"/>
              <w:rPr>
                <w:rFonts w:ascii="Arial" w:hAnsi="Arial" w:cs="Arial"/>
                <w:b/>
                <w:sz w:val="20"/>
              </w:rPr>
            </w:pPr>
            <w:r>
              <w:rPr>
                <w:rFonts w:ascii="Arial" w:hAnsi="Arial" w:cs="Arial"/>
                <w:b/>
                <w:sz w:val="20"/>
              </w:rPr>
              <w:t xml:space="preserve">Návrh zaradenia </w:t>
            </w:r>
            <w:r w:rsidR="0093714A" w:rsidRPr="0093714A">
              <w:rPr>
                <w:rFonts w:ascii="Arial" w:hAnsi="Arial" w:cs="Arial"/>
                <w:b/>
                <w:sz w:val="20"/>
              </w:rPr>
              <w:t>liek</w:t>
            </w:r>
            <w:r>
              <w:rPr>
                <w:rFonts w:ascii="Arial" w:hAnsi="Arial" w:cs="Arial"/>
                <w:b/>
                <w:sz w:val="20"/>
              </w:rPr>
              <w:t>u v zozname kategorizovaných liekov</w:t>
            </w:r>
          </w:p>
        </w:tc>
      </w:tr>
      <w:tr w:rsidR="00D977CC" w:rsidTr="001E6A20">
        <w:trPr>
          <w:trHeight w:val="382"/>
        </w:trPr>
        <w:tc>
          <w:tcPr>
            <w:tcW w:w="9226" w:type="dxa"/>
            <w:gridSpan w:val="2"/>
            <w:tcBorders>
              <w:top w:val="single" w:sz="4" w:space="0" w:color="auto"/>
              <w:bottom w:val="single" w:sz="2" w:space="0" w:color="auto"/>
            </w:tcBorders>
            <w:vAlign w:val="center"/>
          </w:tcPr>
          <w:p w:rsidR="00D977CC" w:rsidRDefault="00D977CC" w:rsidP="0093714A">
            <w:pPr>
              <w:pStyle w:val="BodyText"/>
              <w:rPr>
                <w:rFonts w:ascii="Arial" w:hAnsi="Arial" w:cs="Arial"/>
                <w:b/>
                <w:bCs/>
                <w:i/>
                <w:sz w:val="20"/>
              </w:rPr>
            </w:pPr>
            <w:r w:rsidRPr="00E76A8E">
              <w:rPr>
                <w:rFonts w:ascii="Arial" w:hAnsi="Arial" w:cs="Arial"/>
                <w:b/>
                <w:bCs/>
                <w:i/>
                <w:sz w:val="20"/>
              </w:rPr>
              <w:t xml:space="preserve">1. </w:t>
            </w:r>
            <w:r w:rsidR="0093714A" w:rsidRPr="00E76A8E">
              <w:rPr>
                <w:rFonts w:ascii="Arial" w:hAnsi="Arial" w:cs="Arial"/>
                <w:b/>
                <w:i/>
                <w:sz w:val="20"/>
              </w:rPr>
              <w:t>Návrh maximálnej výšky úhrady zdravotnej poisťovne za liek</w:t>
            </w:r>
            <w:r>
              <w:rPr>
                <w:rFonts w:ascii="Arial" w:hAnsi="Arial" w:cs="Arial"/>
                <w:b/>
                <w:bCs/>
                <w:sz w:val="20"/>
              </w:rPr>
              <w:t>:</w:t>
            </w:r>
            <w:r w:rsidR="0093714A">
              <w:rPr>
                <w:rFonts w:ascii="Arial" w:hAnsi="Arial" w:cs="Arial"/>
                <w:b/>
                <w:bCs/>
                <w:sz w:val="20"/>
              </w:rPr>
              <w:t xml:space="preserve"> </w:t>
            </w:r>
            <w:r w:rsidR="007844E9">
              <w:rPr>
                <w:rFonts w:ascii="Arial" w:hAnsi="Arial" w:cs="Arial"/>
                <w:bCs/>
                <w:i/>
                <w:sz w:val="20"/>
              </w:rPr>
              <w:t xml:space="preserve">Plná úhrada lieku </w:t>
            </w:r>
            <w:r w:rsidR="0056175A" w:rsidRPr="0056175A">
              <w:rPr>
                <w:rFonts w:ascii="Arial" w:hAnsi="Arial" w:cs="Arial"/>
                <w:bCs/>
                <w:i/>
                <w:sz w:val="20"/>
              </w:rPr>
              <w:t>3 402,99 €</w:t>
            </w:r>
            <w:r w:rsidR="0056175A">
              <w:rPr>
                <w:rFonts w:ascii="Arial" w:hAnsi="Arial" w:cs="Arial"/>
                <w:bCs/>
                <w:i/>
                <w:sz w:val="20"/>
              </w:rPr>
              <w:t xml:space="preserve"> </w:t>
            </w:r>
            <w:r w:rsidR="007844E9">
              <w:rPr>
                <w:rFonts w:ascii="Arial" w:hAnsi="Arial" w:cs="Arial"/>
                <w:bCs/>
                <w:i/>
                <w:sz w:val="20"/>
              </w:rPr>
              <w:t>za balenie</w:t>
            </w:r>
            <w:r w:rsidR="003C5F7B">
              <w:rPr>
                <w:rFonts w:ascii="Arial" w:hAnsi="Arial" w:cs="Arial"/>
                <w:bCs/>
                <w:i/>
                <w:sz w:val="20"/>
              </w:rPr>
              <w:t xml:space="preserve"> a </w:t>
            </w:r>
            <w:r w:rsidR="00EA6231" w:rsidRPr="00EA6231">
              <w:rPr>
                <w:rFonts w:ascii="Arial" w:hAnsi="Arial" w:cs="Arial"/>
                <w:bCs/>
                <w:i/>
                <w:sz w:val="20"/>
              </w:rPr>
              <w:t>121,536</w:t>
            </w:r>
            <w:r w:rsidR="003C5F7B">
              <w:rPr>
                <w:rFonts w:ascii="Arial" w:hAnsi="Arial" w:cs="Arial"/>
                <w:bCs/>
                <w:i/>
                <w:sz w:val="20"/>
              </w:rPr>
              <w:t xml:space="preserve"> za ŠDL.</w:t>
            </w:r>
          </w:p>
        </w:tc>
      </w:tr>
      <w:tr w:rsidR="00D977CC" w:rsidTr="001E6A20">
        <w:trPr>
          <w:trHeight w:val="382"/>
        </w:trPr>
        <w:tc>
          <w:tcPr>
            <w:tcW w:w="9226" w:type="dxa"/>
            <w:gridSpan w:val="2"/>
            <w:tcBorders>
              <w:top w:val="single" w:sz="2" w:space="0" w:color="auto"/>
              <w:bottom w:val="single" w:sz="2" w:space="0" w:color="auto"/>
            </w:tcBorders>
            <w:vAlign w:val="center"/>
          </w:tcPr>
          <w:p w:rsidR="00D977CC" w:rsidRDefault="00D977CC" w:rsidP="00D977CC">
            <w:pPr>
              <w:pStyle w:val="BodyText"/>
              <w:rPr>
                <w:rFonts w:ascii="Arial" w:hAnsi="Arial" w:cs="Arial"/>
                <w:b/>
                <w:bCs/>
                <w:i/>
                <w:sz w:val="20"/>
              </w:rPr>
            </w:pPr>
            <w:r>
              <w:rPr>
                <w:rFonts w:ascii="Arial" w:hAnsi="Arial" w:cs="Arial"/>
                <w:b/>
                <w:bCs/>
                <w:i/>
                <w:sz w:val="20"/>
              </w:rPr>
              <w:t>2</w:t>
            </w:r>
            <w:r w:rsidRPr="00555491">
              <w:rPr>
                <w:rFonts w:ascii="Arial" w:hAnsi="Arial" w:cs="Arial"/>
                <w:b/>
                <w:bCs/>
                <w:i/>
                <w:sz w:val="20"/>
              </w:rPr>
              <w:t xml:space="preserve">. </w:t>
            </w:r>
            <w:r w:rsidR="0091093E" w:rsidRPr="00555491">
              <w:rPr>
                <w:rFonts w:ascii="Arial" w:hAnsi="Arial" w:cs="Arial"/>
                <w:b/>
                <w:i/>
                <w:sz w:val="20"/>
              </w:rPr>
              <w:t>O</w:t>
            </w:r>
            <w:r w:rsidRPr="00555491">
              <w:rPr>
                <w:rFonts w:ascii="Arial" w:hAnsi="Arial" w:cs="Arial"/>
                <w:b/>
                <w:i/>
                <w:sz w:val="20"/>
              </w:rPr>
              <w:t>dôvodnenie návrhu</w:t>
            </w:r>
            <w:r w:rsidR="00FB4AFC" w:rsidRPr="00555491">
              <w:rPr>
                <w:rFonts w:ascii="Arial" w:hAnsi="Arial" w:cs="Arial"/>
                <w:b/>
                <w:bCs/>
                <w:i/>
                <w:sz w:val="20"/>
              </w:rPr>
              <w:t xml:space="preserve"> </w:t>
            </w:r>
            <w:r w:rsidR="00FB4AFC" w:rsidRPr="00555491">
              <w:rPr>
                <w:rFonts w:ascii="Arial" w:hAnsi="Arial" w:cs="Arial"/>
                <w:b/>
                <w:i/>
                <w:sz w:val="20"/>
              </w:rPr>
              <w:t>maximálnej výšky úhrady zdravotnej poisťovne za liek</w:t>
            </w:r>
            <w:r w:rsidRPr="00555491">
              <w:rPr>
                <w:rFonts w:ascii="Arial" w:hAnsi="Arial" w:cs="Arial"/>
                <w:b/>
                <w:bCs/>
                <w:i/>
                <w:sz w:val="20"/>
              </w:rPr>
              <w:t>:</w:t>
            </w:r>
          </w:p>
          <w:p w:rsidR="001E6A20" w:rsidRPr="003C5F7B" w:rsidRDefault="003C5F7B" w:rsidP="00D977CC">
            <w:pPr>
              <w:pStyle w:val="BodyText"/>
              <w:rPr>
                <w:rFonts w:ascii="Arial" w:hAnsi="Arial" w:cs="Arial"/>
                <w:bCs/>
                <w:i/>
                <w:sz w:val="20"/>
              </w:rPr>
            </w:pPr>
            <w:r w:rsidRPr="003C5F7B">
              <w:rPr>
                <w:rFonts w:ascii="Arial" w:hAnsi="Arial" w:cs="Arial"/>
                <w:sz w:val="20"/>
              </w:rPr>
              <w:t>Návrh maximálnej výšky úhrady poisťovne je v súlade so zákonom 363/2011 Z.z. a vyhláškou MZ SR č. 435/2011 Z.z.</w:t>
            </w:r>
          </w:p>
        </w:tc>
      </w:tr>
      <w:tr w:rsidR="0093714A" w:rsidTr="001E6A20">
        <w:trPr>
          <w:trHeight w:val="484"/>
        </w:trPr>
        <w:tc>
          <w:tcPr>
            <w:tcW w:w="9226" w:type="dxa"/>
            <w:gridSpan w:val="2"/>
            <w:tcBorders>
              <w:top w:val="single" w:sz="2" w:space="0" w:color="auto"/>
              <w:bottom w:val="single" w:sz="2" w:space="0" w:color="auto"/>
            </w:tcBorders>
            <w:vAlign w:val="center"/>
          </w:tcPr>
          <w:p w:rsidR="00E5678E" w:rsidRDefault="0093714A" w:rsidP="0093714A">
            <w:pPr>
              <w:pStyle w:val="BodyText"/>
              <w:rPr>
                <w:rFonts w:ascii="Arial" w:hAnsi="Arial" w:cs="Arial"/>
                <w:b/>
                <w:bCs/>
                <w:i/>
                <w:sz w:val="20"/>
              </w:rPr>
            </w:pPr>
            <w:r>
              <w:rPr>
                <w:rFonts w:ascii="Arial" w:hAnsi="Arial" w:cs="Arial"/>
                <w:b/>
                <w:bCs/>
                <w:i/>
                <w:sz w:val="20"/>
              </w:rPr>
              <w:t>3</w:t>
            </w:r>
            <w:r w:rsidRPr="000E350E">
              <w:rPr>
                <w:rFonts w:ascii="Arial" w:hAnsi="Arial" w:cs="Arial"/>
                <w:b/>
                <w:bCs/>
                <w:i/>
                <w:sz w:val="20"/>
              </w:rPr>
              <w:t>.</w:t>
            </w:r>
            <w:r>
              <w:rPr>
                <w:rFonts w:ascii="Arial" w:hAnsi="Arial" w:cs="Arial"/>
                <w:b/>
                <w:bCs/>
                <w:i/>
                <w:sz w:val="20"/>
              </w:rPr>
              <w:t xml:space="preserve"> Návrh indikačného obmedzenia:</w:t>
            </w:r>
          </w:p>
          <w:p w:rsidR="009A2E2D" w:rsidRDefault="009A2E2D" w:rsidP="0093714A">
            <w:pPr>
              <w:pStyle w:val="BodyText"/>
              <w:rPr>
                <w:rFonts w:ascii="Arial" w:hAnsi="Arial" w:cs="Arial"/>
                <w:b/>
                <w:bCs/>
                <w:i/>
                <w:sz w:val="20"/>
              </w:rPr>
            </w:pPr>
          </w:p>
          <w:p w:rsidR="00670E15" w:rsidRPr="00670E15" w:rsidRDefault="00670E15" w:rsidP="00670E15">
            <w:pPr>
              <w:autoSpaceDE w:val="0"/>
              <w:autoSpaceDN w:val="0"/>
              <w:adjustRightInd w:val="0"/>
              <w:rPr>
                <w:rFonts w:ascii="Arial" w:hAnsi="Arial" w:cs="Arial"/>
                <w:sz w:val="20"/>
                <w:szCs w:val="20"/>
              </w:rPr>
            </w:pPr>
            <w:r w:rsidRPr="00670E15">
              <w:rPr>
                <w:rFonts w:ascii="Arial" w:hAnsi="Arial" w:cs="Arial"/>
                <w:sz w:val="20"/>
                <w:szCs w:val="20"/>
              </w:rPr>
              <w:t xml:space="preserve">Hradená liečba sa môže indikovať u dospelých pacientov s polycytémiou vera </w:t>
            </w:r>
          </w:p>
          <w:p w:rsidR="00670E15" w:rsidRPr="00670E15" w:rsidRDefault="00670E15" w:rsidP="00670E15">
            <w:pPr>
              <w:autoSpaceDE w:val="0"/>
              <w:autoSpaceDN w:val="0"/>
              <w:adjustRightInd w:val="0"/>
              <w:rPr>
                <w:rFonts w:ascii="Arial" w:hAnsi="Arial" w:cs="Arial"/>
                <w:sz w:val="20"/>
                <w:szCs w:val="20"/>
              </w:rPr>
            </w:pPr>
          </w:p>
          <w:p w:rsidR="00670E15" w:rsidRPr="00670E15" w:rsidRDefault="00670E15" w:rsidP="00670E15">
            <w:pPr>
              <w:pStyle w:val="ListParagraph"/>
              <w:numPr>
                <w:ilvl w:val="0"/>
                <w:numId w:val="10"/>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s rezistenciou na hydroxyureu (HU), ktorí spĺňajú aspoň jedno z nasledujúcich kritérií:</w:t>
            </w:r>
          </w:p>
          <w:p w:rsidR="00670E15" w:rsidRPr="00670E15" w:rsidRDefault="00670E15" w:rsidP="00670E15">
            <w:pPr>
              <w:pStyle w:val="ListParagraph"/>
              <w:numPr>
                <w:ilvl w:val="0"/>
                <w:numId w:val="9"/>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potreba flebotómie pre udržanie hematokritu &lt;45% po 3 mesiacoch liečby HU v dávke ≤2g/deň</w:t>
            </w:r>
          </w:p>
          <w:p w:rsidR="00670E15" w:rsidRPr="00670E15" w:rsidRDefault="00670E15" w:rsidP="00670E15">
            <w:pPr>
              <w:pStyle w:val="ListParagraph"/>
              <w:numPr>
                <w:ilvl w:val="0"/>
                <w:numId w:val="9"/>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nekontrolovaná myeloproliferácia (Tr &gt;400 x 10</w:t>
            </w:r>
            <w:r w:rsidRPr="00670E15">
              <w:rPr>
                <w:rFonts w:ascii="Arial" w:hAnsi="Arial" w:cs="Arial"/>
                <w:sz w:val="20"/>
                <w:szCs w:val="20"/>
                <w:vertAlign w:val="superscript"/>
              </w:rPr>
              <w:t>9</w:t>
            </w:r>
            <w:r w:rsidRPr="00670E15">
              <w:rPr>
                <w:rFonts w:ascii="Arial" w:hAnsi="Arial" w:cs="Arial"/>
                <w:sz w:val="20"/>
                <w:szCs w:val="20"/>
              </w:rPr>
              <w:t>/l a Leu &gt;10 x 10</w:t>
            </w:r>
            <w:r w:rsidRPr="00670E15">
              <w:rPr>
                <w:rFonts w:ascii="Arial" w:hAnsi="Arial" w:cs="Arial"/>
                <w:sz w:val="20"/>
                <w:szCs w:val="20"/>
                <w:vertAlign w:val="superscript"/>
              </w:rPr>
              <w:t>9</w:t>
            </w:r>
            <w:r w:rsidRPr="00670E15">
              <w:rPr>
                <w:rFonts w:ascii="Arial" w:hAnsi="Arial" w:cs="Arial"/>
                <w:sz w:val="20"/>
                <w:szCs w:val="20"/>
              </w:rPr>
              <w:t>/l) po 3 mesiacoch liečby HU v dávke ≤ 2g/deň</w:t>
            </w:r>
          </w:p>
          <w:p w:rsidR="00670E15" w:rsidRPr="00670E15" w:rsidRDefault="00670E15" w:rsidP="00670E15">
            <w:pPr>
              <w:pStyle w:val="ListParagraph"/>
              <w:numPr>
                <w:ilvl w:val="0"/>
                <w:numId w:val="9"/>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nedostatočná redukcia splenomegálie (&lt;50% veľkosti meranej palpačne) po 3 mesiacoch liečby HU v dávke ≤2g/deň</w:t>
            </w:r>
          </w:p>
          <w:p w:rsidR="00670E15" w:rsidRPr="00670E15" w:rsidRDefault="00670E15" w:rsidP="00670E15">
            <w:pPr>
              <w:pStyle w:val="ListParagraph"/>
              <w:autoSpaceDE w:val="0"/>
              <w:autoSpaceDN w:val="0"/>
              <w:adjustRightInd w:val="0"/>
              <w:spacing w:after="0" w:line="240" w:lineRule="auto"/>
              <w:rPr>
                <w:rFonts w:ascii="Arial" w:hAnsi="Arial" w:cs="Arial"/>
                <w:sz w:val="20"/>
                <w:szCs w:val="20"/>
              </w:rPr>
            </w:pPr>
          </w:p>
          <w:p w:rsidR="00670E15" w:rsidRPr="00670E15" w:rsidRDefault="00670E15" w:rsidP="00670E15">
            <w:pPr>
              <w:pStyle w:val="ListParagraph"/>
              <w:numPr>
                <w:ilvl w:val="0"/>
                <w:numId w:val="10"/>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s dokumentovavným prejavom hematologickej alebo nehematologickej intolerancie na HU, ktorí spĺňajú aspoň jedno z nasledujúcich kritérií:</w:t>
            </w:r>
          </w:p>
          <w:p w:rsidR="00670E15" w:rsidRPr="00670E15" w:rsidRDefault="00670E15" w:rsidP="00670E15">
            <w:pPr>
              <w:pStyle w:val="ListParagraph"/>
              <w:numPr>
                <w:ilvl w:val="0"/>
                <w:numId w:val="8"/>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absolútny počet Neu &lt;1 x 10</w:t>
            </w:r>
            <w:r w:rsidRPr="00670E15">
              <w:rPr>
                <w:rFonts w:ascii="Arial" w:hAnsi="Arial" w:cs="Arial"/>
                <w:sz w:val="20"/>
                <w:szCs w:val="20"/>
                <w:vertAlign w:val="superscript"/>
              </w:rPr>
              <w:t>9</w:t>
            </w:r>
            <w:r w:rsidRPr="00670E15">
              <w:rPr>
                <w:rFonts w:ascii="Arial" w:hAnsi="Arial" w:cs="Arial"/>
                <w:sz w:val="20"/>
                <w:szCs w:val="20"/>
              </w:rPr>
              <w:t xml:space="preserve">/l </w:t>
            </w:r>
            <w:r w:rsidRPr="00670E15">
              <w:rPr>
                <w:rFonts w:ascii="Arial" w:hAnsi="Arial" w:cs="Arial"/>
                <w:bCs/>
                <w:sz w:val="20"/>
                <w:szCs w:val="20"/>
              </w:rPr>
              <w:t>alebo</w:t>
            </w:r>
            <w:r w:rsidRPr="00670E15">
              <w:rPr>
                <w:rFonts w:ascii="Arial" w:hAnsi="Arial" w:cs="Arial"/>
                <w:sz w:val="20"/>
                <w:szCs w:val="20"/>
              </w:rPr>
              <w:t xml:space="preserve"> hladina Hb &lt;100 g/l </w:t>
            </w:r>
            <w:r w:rsidRPr="00670E15">
              <w:rPr>
                <w:rFonts w:ascii="Arial" w:hAnsi="Arial" w:cs="Arial"/>
                <w:bCs/>
                <w:sz w:val="20"/>
                <w:szCs w:val="20"/>
              </w:rPr>
              <w:t>alebo</w:t>
            </w:r>
            <w:r w:rsidRPr="00670E15">
              <w:rPr>
                <w:rFonts w:ascii="Arial" w:hAnsi="Arial" w:cs="Arial"/>
                <w:sz w:val="20"/>
                <w:szCs w:val="20"/>
              </w:rPr>
              <w:t xml:space="preserve"> poče</w:t>
            </w:r>
            <w:bookmarkStart w:id="1" w:name="_GoBack"/>
            <w:bookmarkEnd w:id="1"/>
            <w:r w:rsidRPr="00670E15">
              <w:rPr>
                <w:rFonts w:ascii="Arial" w:hAnsi="Arial" w:cs="Arial"/>
                <w:sz w:val="20"/>
                <w:szCs w:val="20"/>
              </w:rPr>
              <w:t>t Tr &lt;100 x 10</w:t>
            </w:r>
            <w:r w:rsidRPr="00670E15">
              <w:rPr>
                <w:rFonts w:ascii="Arial" w:hAnsi="Arial" w:cs="Arial"/>
                <w:sz w:val="20"/>
                <w:szCs w:val="20"/>
                <w:vertAlign w:val="superscript"/>
              </w:rPr>
              <w:t>9</w:t>
            </w:r>
            <w:r w:rsidRPr="00670E15">
              <w:rPr>
                <w:rFonts w:ascii="Arial" w:hAnsi="Arial" w:cs="Arial"/>
                <w:sz w:val="20"/>
                <w:szCs w:val="20"/>
              </w:rPr>
              <w:t>/l pri najnižšej dávke HU potrebnej na dosiahnutie kompletnej alebo parciálnej remisie podľa ELN (European Leukemia Net) odporúčaní</w:t>
            </w:r>
          </w:p>
          <w:p w:rsidR="00670E15" w:rsidRPr="00670E15" w:rsidRDefault="00670E15" w:rsidP="00670E15">
            <w:pPr>
              <w:pStyle w:val="ListParagraph"/>
              <w:numPr>
                <w:ilvl w:val="0"/>
                <w:numId w:val="8"/>
              </w:numPr>
              <w:autoSpaceDE w:val="0"/>
              <w:autoSpaceDN w:val="0"/>
              <w:adjustRightInd w:val="0"/>
              <w:spacing w:after="0" w:line="240" w:lineRule="auto"/>
              <w:contextualSpacing w:val="0"/>
              <w:rPr>
                <w:rFonts w:ascii="Arial" w:hAnsi="Arial" w:cs="Arial"/>
                <w:sz w:val="20"/>
                <w:szCs w:val="20"/>
              </w:rPr>
            </w:pPr>
            <w:r w:rsidRPr="00670E15">
              <w:rPr>
                <w:rFonts w:ascii="Arial" w:hAnsi="Arial" w:cs="Arial"/>
                <w:sz w:val="20"/>
                <w:szCs w:val="20"/>
              </w:rPr>
              <w:t xml:space="preserve">prítomnosť </w:t>
            </w:r>
            <w:r w:rsidRPr="00670E15">
              <w:rPr>
                <w:rFonts w:ascii="Arial" w:hAnsi="Arial" w:cs="Arial"/>
                <w:bCs/>
                <w:sz w:val="20"/>
                <w:szCs w:val="20"/>
              </w:rPr>
              <w:t xml:space="preserve">akýchkoľvek </w:t>
            </w:r>
            <w:r w:rsidRPr="00670E15">
              <w:rPr>
                <w:rFonts w:ascii="Arial" w:hAnsi="Arial" w:cs="Arial"/>
                <w:sz w:val="20"/>
                <w:szCs w:val="20"/>
              </w:rPr>
              <w:t xml:space="preserve">prejavov dermatotoxicity (vredy predkolenia, mukokutánne infekcie, kožný výsyp) </w:t>
            </w:r>
            <w:r w:rsidRPr="00670E15">
              <w:rPr>
                <w:rFonts w:ascii="Arial" w:hAnsi="Arial" w:cs="Arial"/>
                <w:bCs/>
                <w:sz w:val="20"/>
                <w:szCs w:val="20"/>
              </w:rPr>
              <w:t xml:space="preserve">alebo </w:t>
            </w:r>
            <w:r w:rsidRPr="00670E15">
              <w:rPr>
                <w:rFonts w:ascii="Arial" w:hAnsi="Arial" w:cs="Arial"/>
                <w:sz w:val="20"/>
                <w:szCs w:val="20"/>
              </w:rPr>
              <w:t>prejavov inej nehematologickej toxicity (prejavy gastrointestinálnej intolerencie, pneumónia, febrility) pri akejkoľvek dávke HU.</w:t>
            </w:r>
          </w:p>
          <w:p w:rsidR="00670E15" w:rsidRPr="00670E15" w:rsidRDefault="00670E15" w:rsidP="00670E15">
            <w:pPr>
              <w:autoSpaceDE w:val="0"/>
              <w:autoSpaceDN w:val="0"/>
              <w:adjustRightInd w:val="0"/>
              <w:jc w:val="both"/>
              <w:rPr>
                <w:rFonts w:ascii="Arial" w:hAnsi="Arial" w:cs="Arial"/>
                <w:sz w:val="20"/>
                <w:szCs w:val="20"/>
              </w:rPr>
            </w:pPr>
          </w:p>
          <w:p w:rsidR="00670E15" w:rsidRPr="00670E15" w:rsidRDefault="00670E15" w:rsidP="00670E15">
            <w:pPr>
              <w:tabs>
                <w:tab w:val="left" w:pos="2180"/>
              </w:tabs>
              <w:ind w:right="-20"/>
              <w:jc w:val="both"/>
              <w:rPr>
                <w:rFonts w:ascii="Arial" w:hAnsi="Arial" w:cs="Arial"/>
                <w:i/>
                <w:iCs/>
                <w:sz w:val="20"/>
                <w:szCs w:val="20"/>
              </w:rPr>
            </w:pPr>
            <w:r w:rsidRPr="00670E15">
              <w:rPr>
                <w:rFonts w:ascii="Arial" w:hAnsi="Arial" w:cs="Arial"/>
                <w:iCs/>
                <w:spacing w:val="-1"/>
                <w:sz w:val="20"/>
                <w:szCs w:val="20"/>
              </w:rPr>
              <w:t>Ďalšia liečba nie je hradenou liečbou, ak</w:t>
            </w:r>
            <w:r w:rsidRPr="00670E15">
              <w:rPr>
                <w:rFonts w:ascii="Arial" w:hAnsi="Arial" w:cs="Arial"/>
                <w:i/>
                <w:iCs/>
                <w:spacing w:val="-1"/>
                <w:sz w:val="20"/>
                <w:szCs w:val="20"/>
              </w:rPr>
              <w:t xml:space="preserve">  </w:t>
            </w:r>
            <w:r w:rsidRPr="00670E15">
              <w:rPr>
                <w:rFonts w:ascii="Arial" w:eastAsia="Arial" w:hAnsi="Arial" w:cs="Arial"/>
                <w:sz w:val="20"/>
                <w:szCs w:val="20"/>
              </w:rPr>
              <w:t xml:space="preserve">do 6 </w:t>
            </w:r>
            <w:r w:rsidRPr="00670E15">
              <w:rPr>
                <w:rFonts w:ascii="Arial" w:eastAsia="Arial" w:hAnsi="Arial" w:cs="Arial"/>
                <w:spacing w:val="1"/>
                <w:sz w:val="20"/>
                <w:szCs w:val="20"/>
              </w:rPr>
              <w:t>m</w:t>
            </w:r>
            <w:r w:rsidRPr="00670E15">
              <w:rPr>
                <w:rFonts w:ascii="Arial" w:eastAsia="Arial" w:hAnsi="Arial" w:cs="Arial"/>
                <w:sz w:val="20"/>
                <w:szCs w:val="20"/>
              </w:rPr>
              <w:t>es</w:t>
            </w:r>
            <w:r w:rsidRPr="00670E15">
              <w:rPr>
                <w:rFonts w:ascii="Arial" w:eastAsia="Arial" w:hAnsi="Arial" w:cs="Arial"/>
                <w:spacing w:val="-1"/>
                <w:sz w:val="20"/>
                <w:szCs w:val="20"/>
              </w:rPr>
              <w:t>i</w:t>
            </w:r>
            <w:r w:rsidRPr="00670E15">
              <w:rPr>
                <w:rFonts w:ascii="Arial" w:eastAsia="Arial" w:hAnsi="Arial" w:cs="Arial"/>
                <w:sz w:val="20"/>
                <w:szCs w:val="20"/>
              </w:rPr>
              <w:t>ac</w:t>
            </w:r>
            <w:r w:rsidRPr="00670E15">
              <w:rPr>
                <w:rFonts w:ascii="Arial" w:eastAsia="Arial" w:hAnsi="Arial" w:cs="Arial"/>
                <w:spacing w:val="-1"/>
                <w:sz w:val="20"/>
                <w:szCs w:val="20"/>
              </w:rPr>
              <w:t>o</w:t>
            </w:r>
            <w:r w:rsidRPr="00670E15">
              <w:rPr>
                <w:rFonts w:ascii="Arial" w:eastAsia="Arial" w:hAnsi="Arial" w:cs="Arial"/>
                <w:sz w:val="20"/>
                <w:szCs w:val="20"/>
              </w:rPr>
              <w:t>v</w:t>
            </w:r>
            <w:r w:rsidRPr="00670E15">
              <w:rPr>
                <w:rFonts w:ascii="Arial" w:eastAsia="Arial" w:hAnsi="Arial" w:cs="Arial"/>
                <w:spacing w:val="-1"/>
                <w:sz w:val="20"/>
                <w:szCs w:val="20"/>
              </w:rPr>
              <w:t xml:space="preserve"> </w:t>
            </w:r>
            <w:r w:rsidRPr="00670E15">
              <w:rPr>
                <w:rFonts w:ascii="Arial" w:eastAsia="Arial" w:hAnsi="Arial" w:cs="Arial"/>
                <w:sz w:val="20"/>
                <w:szCs w:val="20"/>
              </w:rPr>
              <w:t>od</w:t>
            </w:r>
            <w:r w:rsidRPr="00670E15">
              <w:rPr>
                <w:rFonts w:ascii="Arial" w:eastAsia="Arial" w:hAnsi="Arial" w:cs="Arial"/>
                <w:spacing w:val="3"/>
                <w:sz w:val="20"/>
                <w:szCs w:val="20"/>
              </w:rPr>
              <w:t xml:space="preserve"> </w:t>
            </w:r>
            <w:r w:rsidRPr="00670E15">
              <w:rPr>
                <w:rFonts w:ascii="Arial" w:eastAsia="Arial" w:hAnsi="Arial" w:cs="Arial"/>
                <w:spacing w:val="-2"/>
                <w:sz w:val="20"/>
                <w:szCs w:val="20"/>
              </w:rPr>
              <w:t>z</w:t>
            </w:r>
            <w:r w:rsidRPr="00670E15">
              <w:rPr>
                <w:rFonts w:ascii="Arial" w:eastAsia="Arial" w:hAnsi="Arial" w:cs="Arial"/>
                <w:sz w:val="20"/>
                <w:szCs w:val="20"/>
              </w:rPr>
              <w:t>a</w:t>
            </w:r>
            <w:r w:rsidRPr="00670E15">
              <w:rPr>
                <w:rFonts w:ascii="Arial" w:eastAsia="Arial" w:hAnsi="Arial" w:cs="Arial"/>
                <w:spacing w:val="2"/>
                <w:sz w:val="20"/>
                <w:szCs w:val="20"/>
              </w:rPr>
              <w:t>č</w:t>
            </w:r>
            <w:r w:rsidRPr="00670E15">
              <w:rPr>
                <w:rFonts w:ascii="Arial" w:eastAsia="Arial" w:hAnsi="Arial" w:cs="Arial"/>
                <w:sz w:val="20"/>
                <w:szCs w:val="20"/>
              </w:rPr>
              <w:t xml:space="preserve">atia </w:t>
            </w:r>
            <w:r w:rsidRPr="00670E15">
              <w:rPr>
                <w:rFonts w:ascii="Arial" w:eastAsia="Arial" w:hAnsi="Arial" w:cs="Arial"/>
                <w:spacing w:val="-1"/>
                <w:sz w:val="20"/>
                <w:szCs w:val="20"/>
              </w:rPr>
              <w:t>li</w:t>
            </w:r>
            <w:r w:rsidRPr="00670E15">
              <w:rPr>
                <w:rFonts w:ascii="Arial" w:eastAsia="Arial" w:hAnsi="Arial" w:cs="Arial"/>
                <w:sz w:val="20"/>
                <w:szCs w:val="20"/>
              </w:rPr>
              <w:t>eč</w:t>
            </w:r>
            <w:r w:rsidRPr="00670E15">
              <w:rPr>
                <w:rFonts w:ascii="Arial" w:eastAsia="Arial" w:hAnsi="Arial" w:cs="Arial"/>
                <w:spacing w:val="2"/>
                <w:sz w:val="20"/>
                <w:szCs w:val="20"/>
              </w:rPr>
              <w:t>b</w:t>
            </w:r>
            <w:r w:rsidRPr="00670E15">
              <w:rPr>
                <w:rFonts w:ascii="Arial" w:eastAsia="Arial" w:hAnsi="Arial" w:cs="Arial"/>
                <w:sz w:val="20"/>
                <w:szCs w:val="20"/>
              </w:rPr>
              <w:t>y</w:t>
            </w:r>
            <w:r w:rsidRPr="00670E15">
              <w:rPr>
                <w:rFonts w:ascii="Arial" w:eastAsia="Arial" w:hAnsi="Arial" w:cs="Arial"/>
                <w:spacing w:val="-1"/>
                <w:sz w:val="20"/>
                <w:szCs w:val="20"/>
              </w:rPr>
              <w:t xml:space="preserve"> </w:t>
            </w:r>
            <w:r w:rsidRPr="00670E15">
              <w:rPr>
                <w:rFonts w:ascii="Arial" w:eastAsia="Arial" w:hAnsi="Arial" w:cs="Arial"/>
                <w:sz w:val="20"/>
                <w:szCs w:val="20"/>
              </w:rPr>
              <w:t>n</w:t>
            </w:r>
            <w:r w:rsidRPr="00670E15">
              <w:rPr>
                <w:rFonts w:ascii="Arial" w:eastAsia="Arial" w:hAnsi="Arial" w:cs="Arial"/>
                <w:spacing w:val="-1"/>
                <w:sz w:val="20"/>
                <w:szCs w:val="20"/>
              </w:rPr>
              <w:t>e</w:t>
            </w:r>
            <w:r w:rsidRPr="00670E15">
              <w:rPr>
                <w:rFonts w:ascii="Arial" w:eastAsia="Arial" w:hAnsi="Arial" w:cs="Arial"/>
                <w:sz w:val="20"/>
                <w:szCs w:val="20"/>
              </w:rPr>
              <w:t>d</w:t>
            </w:r>
            <w:r w:rsidRPr="00670E15">
              <w:rPr>
                <w:rFonts w:ascii="Arial" w:eastAsia="Arial" w:hAnsi="Arial" w:cs="Arial"/>
                <w:spacing w:val="-1"/>
                <w:sz w:val="20"/>
                <w:szCs w:val="20"/>
              </w:rPr>
              <w:t>o</w:t>
            </w:r>
            <w:r w:rsidRPr="00670E15">
              <w:rPr>
                <w:rFonts w:ascii="Arial" w:eastAsia="Arial" w:hAnsi="Arial" w:cs="Arial"/>
                <w:sz w:val="20"/>
                <w:szCs w:val="20"/>
              </w:rPr>
              <w:t>š</w:t>
            </w:r>
            <w:r w:rsidRPr="00670E15">
              <w:rPr>
                <w:rFonts w:ascii="Arial" w:eastAsia="Arial" w:hAnsi="Arial" w:cs="Arial"/>
                <w:spacing w:val="-1"/>
                <w:sz w:val="20"/>
                <w:szCs w:val="20"/>
              </w:rPr>
              <w:t>l</w:t>
            </w:r>
            <w:r w:rsidRPr="00670E15">
              <w:rPr>
                <w:rFonts w:ascii="Arial" w:eastAsia="Arial" w:hAnsi="Arial" w:cs="Arial"/>
                <w:sz w:val="20"/>
                <w:szCs w:val="20"/>
              </w:rPr>
              <w:t xml:space="preserve">o k poklesu hodnoty </w:t>
            </w:r>
            <w:r w:rsidRPr="00670E15">
              <w:rPr>
                <w:rFonts w:ascii="Arial" w:eastAsia="Arial" w:hAnsi="Arial" w:cs="Arial"/>
                <w:sz w:val="20"/>
                <w:szCs w:val="20"/>
              </w:rPr>
              <w:lastRenderedPageBreak/>
              <w:t xml:space="preserve">hematokritu voči počiatočnej hodnote a ≥50% </w:t>
            </w:r>
            <w:r w:rsidRPr="00670E15">
              <w:rPr>
                <w:rFonts w:ascii="Arial" w:eastAsia="Arial" w:hAnsi="Arial" w:cs="Arial"/>
                <w:spacing w:val="-2"/>
                <w:sz w:val="20"/>
                <w:szCs w:val="20"/>
              </w:rPr>
              <w:t>z</w:t>
            </w:r>
            <w:r w:rsidRPr="00670E15">
              <w:rPr>
                <w:rFonts w:ascii="Arial" w:eastAsia="Arial" w:hAnsi="Arial" w:cs="Arial"/>
                <w:spacing w:val="1"/>
                <w:sz w:val="20"/>
                <w:szCs w:val="20"/>
              </w:rPr>
              <w:t>l</w:t>
            </w:r>
            <w:r w:rsidRPr="00670E15">
              <w:rPr>
                <w:rFonts w:ascii="Arial" w:eastAsia="Arial" w:hAnsi="Arial" w:cs="Arial"/>
                <w:sz w:val="20"/>
                <w:szCs w:val="20"/>
              </w:rPr>
              <w:t>e</w:t>
            </w:r>
            <w:r w:rsidRPr="00670E15">
              <w:rPr>
                <w:rFonts w:ascii="Arial" w:eastAsia="Arial" w:hAnsi="Arial" w:cs="Arial"/>
                <w:spacing w:val="-1"/>
                <w:sz w:val="20"/>
                <w:szCs w:val="20"/>
              </w:rPr>
              <w:t>p</w:t>
            </w:r>
            <w:r w:rsidRPr="00670E15">
              <w:rPr>
                <w:rFonts w:ascii="Arial" w:eastAsia="Arial" w:hAnsi="Arial" w:cs="Arial"/>
                <w:sz w:val="20"/>
                <w:szCs w:val="20"/>
              </w:rPr>
              <w:t>še</w:t>
            </w:r>
            <w:r w:rsidRPr="00670E15">
              <w:rPr>
                <w:rFonts w:ascii="Arial" w:eastAsia="Arial" w:hAnsi="Arial" w:cs="Arial"/>
                <w:spacing w:val="-1"/>
                <w:sz w:val="20"/>
                <w:szCs w:val="20"/>
              </w:rPr>
              <w:t>niu skóre</w:t>
            </w:r>
            <w:r w:rsidRPr="00670E15">
              <w:rPr>
                <w:rFonts w:ascii="Arial" w:eastAsia="Arial" w:hAnsi="Arial" w:cs="Arial"/>
                <w:sz w:val="20"/>
                <w:szCs w:val="20"/>
              </w:rPr>
              <w:t xml:space="preserve"> p</w:t>
            </w:r>
            <w:r w:rsidRPr="00670E15">
              <w:rPr>
                <w:rFonts w:ascii="Arial" w:eastAsia="Arial" w:hAnsi="Arial" w:cs="Arial"/>
                <w:spacing w:val="1"/>
                <w:sz w:val="20"/>
                <w:szCs w:val="20"/>
              </w:rPr>
              <w:t>r</w:t>
            </w:r>
            <w:r w:rsidRPr="00670E15">
              <w:rPr>
                <w:rFonts w:ascii="Arial" w:eastAsia="Arial" w:hAnsi="Arial" w:cs="Arial"/>
                <w:spacing w:val="-4"/>
                <w:sz w:val="20"/>
                <w:szCs w:val="20"/>
              </w:rPr>
              <w:t>í</w:t>
            </w:r>
            <w:r w:rsidRPr="00670E15">
              <w:rPr>
                <w:rFonts w:ascii="Arial" w:eastAsia="Arial" w:hAnsi="Arial" w:cs="Arial"/>
                <w:spacing w:val="-2"/>
                <w:sz w:val="20"/>
                <w:szCs w:val="20"/>
              </w:rPr>
              <w:t>z</w:t>
            </w:r>
            <w:r w:rsidRPr="00670E15">
              <w:rPr>
                <w:rFonts w:ascii="Arial" w:eastAsia="Arial" w:hAnsi="Arial" w:cs="Arial"/>
                <w:sz w:val="20"/>
                <w:szCs w:val="20"/>
              </w:rPr>
              <w:t>n</w:t>
            </w:r>
            <w:r w:rsidRPr="00670E15">
              <w:rPr>
                <w:rFonts w:ascii="Arial" w:eastAsia="Arial" w:hAnsi="Arial" w:cs="Arial"/>
                <w:spacing w:val="-1"/>
                <w:sz w:val="20"/>
                <w:szCs w:val="20"/>
              </w:rPr>
              <w:t>a</w:t>
            </w:r>
            <w:r w:rsidRPr="00670E15">
              <w:rPr>
                <w:rFonts w:ascii="Arial" w:eastAsia="Arial" w:hAnsi="Arial" w:cs="Arial"/>
                <w:spacing w:val="2"/>
                <w:sz w:val="20"/>
                <w:szCs w:val="20"/>
              </w:rPr>
              <w:t>k</w:t>
            </w:r>
            <w:r w:rsidRPr="00670E15">
              <w:rPr>
                <w:rFonts w:ascii="Arial" w:eastAsia="Arial" w:hAnsi="Arial" w:cs="Arial"/>
                <w:sz w:val="20"/>
                <w:szCs w:val="20"/>
              </w:rPr>
              <w:t>o</w:t>
            </w:r>
            <w:r w:rsidRPr="00670E15">
              <w:rPr>
                <w:rFonts w:ascii="Arial" w:eastAsia="Arial" w:hAnsi="Arial" w:cs="Arial"/>
                <w:spacing w:val="-3"/>
                <w:sz w:val="20"/>
                <w:szCs w:val="20"/>
              </w:rPr>
              <w:t>v (podľa MPN-SAF TSS).</w:t>
            </w:r>
            <w:r w:rsidRPr="00670E15">
              <w:rPr>
                <w:rFonts w:ascii="Arial" w:eastAsia="Arial" w:hAnsi="Arial" w:cs="Arial"/>
                <w:sz w:val="20"/>
                <w:szCs w:val="20"/>
              </w:rPr>
              <w:t xml:space="preserve">  </w:t>
            </w:r>
          </w:p>
          <w:p w:rsidR="00670E15" w:rsidRPr="00670E15" w:rsidRDefault="00670E15" w:rsidP="00670E15">
            <w:pPr>
              <w:pStyle w:val="BodyText"/>
              <w:rPr>
                <w:rFonts w:ascii="Arial" w:hAnsi="Arial" w:cs="Arial"/>
                <w:sz w:val="20"/>
                <w:szCs w:val="20"/>
              </w:rPr>
            </w:pPr>
          </w:p>
          <w:p w:rsidR="00670E15" w:rsidRPr="00670E15" w:rsidRDefault="00670E15" w:rsidP="00670E15">
            <w:pPr>
              <w:pStyle w:val="BodyText"/>
              <w:rPr>
                <w:rFonts w:ascii="Arial" w:hAnsi="Arial" w:cs="Arial"/>
                <w:sz w:val="20"/>
                <w:szCs w:val="20"/>
              </w:rPr>
            </w:pPr>
            <w:r w:rsidRPr="00670E15">
              <w:rPr>
                <w:rFonts w:ascii="Arial" w:hAnsi="Arial" w:cs="Arial"/>
                <w:sz w:val="20"/>
                <w:szCs w:val="20"/>
              </w:rPr>
              <w:t>Hradená liečba podlieha predchádzajúcemu súhlasu zdravotnej poisťovne.</w:t>
            </w:r>
          </w:p>
          <w:p w:rsidR="00E5678E" w:rsidRDefault="00E5678E" w:rsidP="00670E15">
            <w:pPr>
              <w:pStyle w:val="BodyText"/>
              <w:rPr>
                <w:rFonts w:ascii="Arial" w:hAnsi="Arial" w:cs="Arial"/>
                <w:b/>
                <w:bCs/>
                <w:i/>
                <w:sz w:val="20"/>
              </w:rPr>
            </w:pPr>
          </w:p>
        </w:tc>
      </w:tr>
      <w:tr w:rsidR="0093714A" w:rsidTr="001E6A20">
        <w:trPr>
          <w:trHeight w:val="484"/>
        </w:trPr>
        <w:tc>
          <w:tcPr>
            <w:tcW w:w="9226" w:type="dxa"/>
            <w:gridSpan w:val="2"/>
            <w:tcBorders>
              <w:top w:val="single" w:sz="2" w:space="0" w:color="auto"/>
              <w:bottom w:val="single" w:sz="2" w:space="0" w:color="auto"/>
            </w:tcBorders>
          </w:tcPr>
          <w:p w:rsidR="0093714A" w:rsidRPr="000E350E" w:rsidRDefault="0093714A" w:rsidP="007F3289">
            <w:pPr>
              <w:pStyle w:val="BodyText"/>
              <w:rPr>
                <w:rFonts w:ascii="Arial" w:hAnsi="Arial" w:cs="Arial"/>
                <w:b/>
                <w:bCs/>
                <w:i/>
                <w:sz w:val="20"/>
              </w:rPr>
            </w:pPr>
            <w:r>
              <w:rPr>
                <w:rFonts w:ascii="Arial" w:hAnsi="Arial" w:cs="Arial"/>
                <w:b/>
                <w:bCs/>
                <w:i/>
                <w:sz w:val="20"/>
              </w:rPr>
              <w:lastRenderedPageBreak/>
              <w:t>4</w:t>
            </w:r>
            <w:r w:rsidRPr="000E350E">
              <w:rPr>
                <w:rFonts w:ascii="Arial" w:hAnsi="Arial" w:cs="Arial"/>
                <w:b/>
                <w:bCs/>
                <w:i/>
                <w:sz w:val="20"/>
              </w:rPr>
              <w:t>.</w:t>
            </w:r>
            <w:r w:rsidR="00901FDF">
              <w:rPr>
                <w:rFonts w:ascii="Arial" w:hAnsi="Arial" w:cs="Arial"/>
                <w:b/>
                <w:bCs/>
                <w:i/>
                <w:sz w:val="20"/>
              </w:rPr>
              <w:t xml:space="preserve"> Návrh preskrip</w:t>
            </w:r>
            <w:r>
              <w:rPr>
                <w:rFonts w:ascii="Arial" w:hAnsi="Arial" w:cs="Arial"/>
                <w:b/>
                <w:bCs/>
                <w:i/>
                <w:sz w:val="20"/>
              </w:rPr>
              <w:t xml:space="preserve">čného obmedzenia </w:t>
            </w:r>
            <w:r w:rsidRPr="003A1DFB">
              <w:rPr>
                <w:rFonts w:ascii="Arial" w:hAnsi="Arial" w:cs="Arial"/>
                <w:b/>
                <w:bCs/>
                <w:i/>
                <w:sz w:val="20"/>
              </w:rPr>
              <w:t>na špecializačný odbor lekára alebo zubného lekára</w:t>
            </w:r>
            <w:r>
              <w:rPr>
                <w:rFonts w:ascii="Arial" w:hAnsi="Arial" w:cs="Arial"/>
                <w:b/>
                <w:bCs/>
                <w:i/>
                <w:sz w:val="20"/>
              </w:rPr>
              <w:t xml:space="preserve">: </w:t>
            </w:r>
            <w:r w:rsidR="00480605" w:rsidRPr="00480605">
              <w:rPr>
                <w:rFonts w:ascii="Arial" w:hAnsi="Arial" w:cs="Arial"/>
                <w:bCs/>
                <w:sz w:val="20"/>
              </w:rPr>
              <w:t>HEM</w:t>
            </w:r>
          </w:p>
        </w:tc>
      </w:tr>
      <w:tr w:rsidR="0093714A" w:rsidTr="001E6A20">
        <w:trPr>
          <w:trHeight w:val="484"/>
        </w:trPr>
        <w:tc>
          <w:tcPr>
            <w:tcW w:w="9226" w:type="dxa"/>
            <w:gridSpan w:val="2"/>
            <w:tcBorders>
              <w:top w:val="single" w:sz="2" w:space="0" w:color="auto"/>
              <w:bottom w:val="single" w:sz="18" w:space="0" w:color="auto"/>
            </w:tcBorders>
            <w:vAlign w:val="center"/>
          </w:tcPr>
          <w:p w:rsidR="0093714A" w:rsidRPr="000E350E" w:rsidRDefault="0093714A" w:rsidP="007F3289">
            <w:pPr>
              <w:pStyle w:val="BodyText"/>
              <w:rPr>
                <w:rFonts w:ascii="Arial" w:hAnsi="Arial" w:cs="Arial"/>
                <w:b/>
                <w:bCs/>
                <w:i/>
                <w:sz w:val="20"/>
              </w:rPr>
            </w:pPr>
            <w:r>
              <w:rPr>
                <w:rFonts w:ascii="Arial" w:hAnsi="Arial" w:cs="Arial"/>
                <w:b/>
                <w:bCs/>
                <w:i/>
                <w:sz w:val="20"/>
              </w:rPr>
              <w:t>5</w:t>
            </w:r>
            <w:r w:rsidRPr="000E350E">
              <w:rPr>
                <w:rFonts w:ascii="Arial" w:hAnsi="Arial" w:cs="Arial"/>
                <w:b/>
                <w:bCs/>
                <w:i/>
                <w:sz w:val="20"/>
              </w:rPr>
              <w:t>.</w:t>
            </w:r>
            <w:r>
              <w:rPr>
                <w:rFonts w:ascii="Arial" w:hAnsi="Arial" w:cs="Arial"/>
                <w:b/>
                <w:bCs/>
                <w:i/>
                <w:sz w:val="20"/>
              </w:rPr>
              <w:t xml:space="preserve"> Návrh </w:t>
            </w:r>
            <w:r w:rsidRPr="003A1DFB">
              <w:rPr>
                <w:rFonts w:ascii="Arial" w:hAnsi="Arial" w:cs="Arial"/>
                <w:b/>
                <w:bCs/>
                <w:i/>
                <w:sz w:val="20"/>
              </w:rPr>
              <w:t>obmedzenia úhrady zdravotnej poisťovne na jej predchádzajúci súhlas</w:t>
            </w:r>
            <w:r>
              <w:rPr>
                <w:rFonts w:ascii="Arial" w:hAnsi="Arial" w:cs="Arial"/>
                <w:b/>
                <w:bCs/>
                <w:i/>
                <w:sz w:val="20"/>
              </w:rPr>
              <w:t xml:space="preserve">: </w:t>
            </w:r>
            <w:r w:rsidR="0009368F">
              <w:rPr>
                <w:rFonts w:ascii="Arial" w:hAnsi="Arial" w:cs="Arial"/>
                <w:sz w:val="20"/>
              </w:rPr>
              <w:t xml:space="preserve"> Áno</w:t>
            </w:r>
          </w:p>
        </w:tc>
      </w:tr>
    </w:tbl>
    <w:p w:rsidR="00F03B1A" w:rsidRDefault="00F03B1A" w:rsidP="00DB121E"/>
    <w:p w:rsidR="00535E8B" w:rsidRDefault="00535E8B"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8218"/>
      </w:tblGrid>
      <w:tr w:rsidR="00F03B1A" w:rsidTr="00772478">
        <w:trPr>
          <w:trHeight w:val="440"/>
        </w:trPr>
        <w:tc>
          <w:tcPr>
            <w:tcW w:w="1008" w:type="dxa"/>
            <w:tcBorders>
              <w:top w:val="single" w:sz="18" w:space="0" w:color="auto"/>
              <w:bottom w:val="single" w:sz="4" w:space="0" w:color="auto"/>
            </w:tcBorders>
            <w:shd w:val="clear" w:color="auto" w:fill="000000"/>
            <w:vAlign w:val="center"/>
          </w:tcPr>
          <w:p w:rsidR="00F03B1A" w:rsidRDefault="00F03B1A" w:rsidP="00F03B1A">
            <w:pPr>
              <w:pStyle w:val="BodyText"/>
              <w:rPr>
                <w:rFonts w:ascii="Arial" w:hAnsi="Arial" w:cs="Arial"/>
                <w:b/>
                <w:sz w:val="20"/>
              </w:rPr>
            </w:pPr>
            <w:r>
              <w:rPr>
                <w:rFonts w:ascii="Arial" w:hAnsi="Arial" w:cs="Arial"/>
                <w:b/>
                <w:sz w:val="20"/>
              </w:rPr>
              <w:t xml:space="preserve">Časť E </w:t>
            </w:r>
          </w:p>
        </w:tc>
        <w:tc>
          <w:tcPr>
            <w:tcW w:w="8218" w:type="dxa"/>
            <w:tcBorders>
              <w:top w:val="single" w:sz="18" w:space="0" w:color="auto"/>
              <w:bottom w:val="single" w:sz="4" w:space="0" w:color="auto"/>
            </w:tcBorders>
            <w:vAlign w:val="center"/>
          </w:tcPr>
          <w:p w:rsidR="00F03B1A" w:rsidRDefault="00F03B1A" w:rsidP="00772478">
            <w:pPr>
              <w:pStyle w:val="BodyText"/>
              <w:rPr>
                <w:rFonts w:ascii="Arial" w:hAnsi="Arial" w:cs="Arial"/>
                <w:b/>
                <w:sz w:val="20"/>
              </w:rPr>
            </w:pPr>
            <w:r>
              <w:rPr>
                <w:rFonts w:ascii="Arial" w:hAnsi="Arial" w:cs="Arial"/>
                <w:b/>
                <w:sz w:val="20"/>
              </w:rPr>
              <w:t>Úradne určená cena lieku v iných členských štátoch EÚ</w:t>
            </w:r>
          </w:p>
        </w:tc>
      </w:tr>
      <w:tr w:rsidR="00F03B1A" w:rsidTr="00390DBF">
        <w:trPr>
          <w:trHeight w:val="243"/>
        </w:trPr>
        <w:tc>
          <w:tcPr>
            <w:tcW w:w="9226" w:type="dxa"/>
            <w:gridSpan w:val="2"/>
            <w:tcBorders>
              <w:top w:val="single" w:sz="4" w:space="0" w:color="auto"/>
              <w:bottom w:val="single" w:sz="4" w:space="0" w:color="auto"/>
            </w:tcBorders>
            <w:vAlign w:val="center"/>
          </w:tcPr>
          <w:p w:rsidR="00F03B1A" w:rsidRDefault="00F03B1A" w:rsidP="00772478">
            <w:pPr>
              <w:pStyle w:val="BodyText"/>
              <w:tabs>
                <w:tab w:val="left" w:pos="3780"/>
              </w:tabs>
              <w:rPr>
                <w:rFonts w:ascii="Arial" w:hAnsi="Arial" w:cs="Arial"/>
                <w:b/>
                <w:sz w:val="20"/>
              </w:rPr>
            </w:pPr>
            <w:r>
              <w:rPr>
                <w:rFonts w:ascii="Arial" w:hAnsi="Arial" w:cs="Arial"/>
                <w:b/>
                <w:i/>
                <w:sz w:val="20"/>
              </w:rPr>
              <w:t>Uvádza sa v príslušnej národnej mene.</w:t>
            </w:r>
          </w:p>
          <w:p w:rsidR="00F03B1A" w:rsidRPr="00EB4321" w:rsidRDefault="00F03B1A" w:rsidP="00772478">
            <w:pPr>
              <w:pStyle w:val="BodyText"/>
              <w:tabs>
                <w:tab w:val="left" w:pos="3780"/>
              </w:tabs>
              <w:rPr>
                <w:rFonts w:ascii="Arial" w:hAnsi="Arial" w:cs="Arial"/>
                <w:i/>
                <w:sz w:val="20"/>
              </w:rPr>
            </w:pPr>
            <w:r w:rsidRPr="00EB4321">
              <w:rPr>
                <w:rFonts w:ascii="Arial" w:hAnsi="Arial" w:cs="Arial"/>
                <w:i/>
                <w:sz w:val="20"/>
              </w:rPr>
              <w:t>Prepočet cien na menu euro sa vykoná na základe kurzu vypočítaného ako aritmetický priemer denných referenčných výmenných kurzov vyhlásených Európskou centrálnou bankou za obdobie dvanástich mesiacov predchádzajúcich mesiacu, v ktorom sa žiadosť podáva.</w:t>
            </w:r>
          </w:p>
          <w:p w:rsidR="00F03B1A" w:rsidRDefault="00F03B1A" w:rsidP="00772478">
            <w:pPr>
              <w:pStyle w:val="BodyText"/>
              <w:tabs>
                <w:tab w:val="left" w:pos="3780"/>
              </w:tabs>
              <w:rPr>
                <w:rFonts w:ascii="Arial" w:hAnsi="Arial" w:cs="Arial"/>
                <w:b/>
                <w:sz w:val="20"/>
              </w:rPr>
            </w:pPr>
          </w:p>
          <w:p w:rsidR="00F03B1A" w:rsidRPr="00153D04" w:rsidRDefault="00F03B1A" w:rsidP="00772478">
            <w:pPr>
              <w:pStyle w:val="BodyText"/>
              <w:tabs>
                <w:tab w:val="left" w:pos="3780"/>
              </w:tabs>
              <w:rPr>
                <w:rFonts w:ascii="Arial" w:hAnsi="Arial" w:cs="Arial"/>
                <w:b/>
                <w:sz w:val="20"/>
              </w:rPr>
            </w:pPr>
            <w:r>
              <w:rPr>
                <w:rFonts w:ascii="Arial" w:hAnsi="Arial" w:cs="Arial"/>
                <w:b/>
                <w:sz w:val="20"/>
              </w:rPr>
              <w:t>1. </w:t>
            </w:r>
            <w:r w:rsidRPr="00153D04">
              <w:rPr>
                <w:rFonts w:ascii="Arial" w:hAnsi="Arial" w:cs="Arial"/>
                <w:b/>
                <w:sz w:val="20"/>
              </w:rPr>
              <w:t>Belgicko</w:t>
            </w:r>
            <w:r>
              <w:rPr>
                <w:rFonts w:ascii="Arial" w:hAnsi="Arial" w:cs="Arial"/>
                <w:b/>
                <w:sz w:val="20"/>
              </w:rPr>
              <w:tab/>
            </w:r>
            <w:r w:rsidR="00A1351D" w:rsidRPr="00A1351D">
              <w:rPr>
                <w:rFonts w:ascii="Arial" w:hAnsi="Arial" w:cs="Arial"/>
                <w:b/>
                <w:bCs/>
                <w:sz w:val="20"/>
              </w:rPr>
              <w:t>3</w:t>
            </w:r>
            <w:r w:rsidR="00A1351D">
              <w:rPr>
                <w:rFonts w:ascii="Arial" w:hAnsi="Arial" w:cs="Arial"/>
                <w:b/>
                <w:bCs/>
                <w:sz w:val="20"/>
              </w:rPr>
              <w:t xml:space="preserve"> </w:t>
            </w:r>
            <w:r w:rsidR="00A1351D" w:rsidRPr="00A1351D">
              <w:rPr>
                <w:rFonts w:ascii="Arial" w:hAnsi="Arial" w:cs="Arial"/>
                <w:b/>
                <w:bCs/>
                <w:sz w:val="20"/>
              </w:rPr>
              <w:t>373,23</w:t>
            </w:r>
            <w:r>
              <w:rPr>
                <w:rFonts w:ascii="Arial" w:hAnsi="Arial" w:cs="Arial"/>
                <w:b/>
                <w:bCs/>
                <w:sz w:val="20"/>
              </w:rPr>
              <w:t> </w:t>
            </w:r>
            <w:r w:rsidRPr="00153D04">
              <w:rPr>
                <w:rFonts w:ascii="Arial" w:hAnsi="Arial" w:cs="Arial"/>
                <w:b/>
                <w:sz w:val="20"/>
              </w:rPr>
              <w:t>EUR</w:t>
            </w:r>
          </w:p>
          <w:p w:rsidR="00F03B1A" w:rsidRPr="00153D04" w:rsidRDefault="00F03B1A" w:rsidP="00772478">
            <w:pPr>
              <w:pStyle w:val="BodyText"/>
              <w:tabs>
                <w:tab w:val="left" w:pos="3780"/>
              </w:tabs>
              <w:rPr>
                <w:rFonts w:ascii="Arial" w:hAnsi="Arial" w:cs="Arial"/>
                <w:b/>
                <w:sz w:val="20"/>
              </w:rPr>
            </w:pPr>
            <w:r>
              <w:rPr>
                <w:rFonts w:ascii="Arial" w:hAnsi="Arial" w:cs="Arial"/>
                <w:b/>
                <w:sz w:val="20"/>
              </w:rPr>
              <w:t>2. </w:t>
            </w:r>
            <w:r w:rsidRPr="00153D04">
              <w:rPr>
                <w:rFonts w:ascii="Arial" w:hAnsi="Arial" w:cs="Arial"/>
                <w:b/>
                <w:sz w:val="20"/>
              </w:rPr>
              <w:t>Bulharsko</w:t>
            </w:r>
            <w:r w:rsidRPr="00153D04">
              <w:rPr>
                <w:rFonts w:ascii="Arial" w:hAnsi="Arial" w:cs="Arial"/>
                <w:b/>
                <w:sz w:val="20"/>
              </w:rPr>
              <w:tab/>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sidRPr="00153D04">
              <w:rPr>
                <w:rFonts w:ascii="Arial" w:hAnsi="Arial" w:cs="Arial"/>
                <w:b/>
                <w:sz w:val="20"/>
              </w:rPr>
              <w:t>BGN</w:t>
            </w:r>
            <w:r>
              <w:rPr>
                <w:rFonts w:ascii="Arial" w:hAnsi="Arial" w:cs="Arial"/>
                <w:b/>
                <w:sz w:val="20"/>
              </w:rPr>
              <w:tab/>
              <w:t xml:space="preserve">   </w:t>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Pr>
                <w:rFonts w:ascii="Arial" w:hAnsi="Arial" w:cs="Arial"/>
                <w:b/>
                <w:sz w:val="20"/>
              </w:rPr>
              <w:t>EUR</w:t>
            </w:r>
          </w:p>
          <w:p w:rsidR="00F03B1A" w:rsidRPr="00153D04" w:rsidRDefault="00F03B1A" w:rsidP="00772478">
            <w:pPr>
              <w:pStyle w:val="BodyText"/>
              <w:tabs>
                <w:tab w:val="left" w:pos="3780"/>
              </w:tabs>
              <w:rPr>
                <w:rFonts w:ascii="Arial" w:hAnsi="Arial" w:cs="Arial"/>
                <w:b/>
                <w:sz w:val="20"/>
              </w:rPr>
            </w:pPr>
            <w:r>
              <w:rPr>
                <w:rFonts w:ascii="Arial" w:hAnsi="Arial" w:cs="Arial"/>
                <w:b/>
                <w:sz w:val="20"/>
              </w:rPr>
              <w:t>3. </w:t>
            </w:r>
            <w:r w:rsidRPr="00153D04">
              <w:rPr>
                <w:rFonts w:ascii="Arial" w:hAnsi="Arial" w:cs="Arial"/>
                <w:b/>
                <w:sz w:val="20"/>
              </w:rPr>
              <w:t>Česká republika</w:t>
            </w:r>
            <w:r w:rsidRPr="00153D04">
              <w:rPr>
                <w:rFonts w:ascii="Arial" w:hAnsi="Arial" w:cs="Arial"/>
                <w:b/>
                <w:sz w:val="20"/>
              </w:rPr>
              <w:tab/>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sidRPr="00153D04">
              <w:rPr>
                <w:rFonts w:ascii="Arial" w:hAnsi="Arial" w:cs="Arial"/>
                <w:b/>
                <w:sz w:val="20"/>
              </w:rPr>
              <w:t>CZK</w:t>
            </w:r>
            <w:r>
              <w:rPr>
                <w:rFonts w:ascii="Arial" w:hAnsi="Arial" w:cs="Arial"/>
                <w:b/>
                <w:sz w:val="20"/>
              </w:rPr>
              <w:tab/>
              <w:t xml:space="preserve">   </w:t>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Pr>
                <w:rFonts w:ascii="Arial" w:hAnsi="Arial" w:cs="Arial"/>
                <w:b/>
                <w:sz w:val="20"/>
              </w:rPr>
              <w:t>EUR</w:t>
            </w:r>
          </w:p>
          <w:p w:rsidR="00F03B1A" w:rsidRPr="00153D04" w:rsidRDefault="00F03B1A" w:rsidP="00772478">
            <w:pPr>
              <w:pStyle w:val="BodyText"/>
              <w:tabs>
                <w:tab w:val="left" w:pos="3780"/>
              </w:tabs>
              <w:rPr>
                <w:rFonts w:ascii="Arial" w:hAnsi="Arial" w:cs="Arial"/>
                <w:b/>
                <w:sz w:val="20"/>
              </w:rPr>
            </w:pPr>
            <w:r>
              <w:rPr>
                <w:rFonts w:ascii="Arial" w:hAnsi="Arial" w:cs="Arial"/>
                <w:b/>
                <w:sz w:val="20"/>
              </w:rPr>
              <w:t>4. </w:t>
            </w:r>
            <w:r w:rsidRPr="00153D04">
              <w:rPr>
                <w:rFonts w:ascii="Arial" w:hAnsi="Arial" w:cs="Arial"/>
                <w:b/>
                <w:sz w:val="20"/>
              </w:rPr>
              <w:t>Cyprus</w:t>
            </w:r>
            <w:r w:rsidRPr="00153D04">
              <w:rPr>
                <w:rFonts w:ascii="Arial" w:hAnsi="Arial" w:cs="Arial"/>
                <w:b/>
                <w:sz w:val="20"/>
              </w:rPr>
              <w:tab/>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sidRPr="00153D04">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5. Dánsko</w:t>
            </w:r>
            <w:r w:rsidRPr="00671E3A">
              <w:rPr>
                <w:rFonts w:ascii="Arial" w:hAnsi="Arial" w:cs="Arial"/>
                <w:b/>
                <w:sz w:val="20"/>
              </w:rPr>
              <w:tab/>
            </w:r>
            <w:r w:rsidR="00924C21" w:rsidRPr="00671E3A">
              <w:rPr>
                <w:rFonts w:ascii="Arial" w:hAnsi="Arial" w:cs="Arial"/>
                <w:b/>
                <w:bCs/>
                <w:sz w:val="20"/>
              </w:rPr>
              <w:t>25 820,35</w:t>
            </w:r>
            <w:r w:rsidRPr="00671E3A">
              <w:rPr>
                <w:rFonts w:ascii="Arial" w:hAnsi="Arial" w:cs="Arial"/>
                <w:b/>
                <w:bCs/>
                <w:sz w:val="20"/>
              </w:rPr>
              <w:t> </w:t>
            </w:r>
            <w:r w:rsidRPr="00671E3A">
              <w:rPr>
                <w:rFonts w:ascii="Arial" w:hAnsi="Arial" w:cs="Arial"/>
                <w:b/>
                <w:sz w:val="20"/>
              </w:rPr>
              <w:t>DKK</w:t>
            </w:r>
            <w:r w:rsidRPr="00671E3A">
              <w:rPr>
                <w:rFonts w:ascii="Arial" w:hAnsi="Arial" w:cs="Arial"/>
                <w:b/>
                <w:sz w:val="20"/>
              </w:rPr>
              <w:tab/>
              <w:t xml:space="preserve">   </w:t>
            </w:r>
            <w:r w:rsidR="00A1351D" w:rsidRPr="00671E3A">
              <w:rPr>
                <w:rFonts w:ascii="Arial" w:hAnsi="Arial" w:cs="Arial"/>
                <w:b/>
                <w:bCs/>
                <w:sz w:val="20"/>
              </w:rPr>
              <w:t>3 470,34</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6. Estónsko</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7. Fínsko</w:t>
            </w:r>
            <w:r w:rsidRPr="00671E3A">
              <w:rPr>
                <w:rFonts w:ascii="Arial" w:hAnsi="Arial" w:cs="Arial"/>
                <w:b/>
                <w:sz w:val="20"/>
              </w:rPr>
              <w:tab/>
            </w:r>
            <w:r w:rsidR="00A1351D" w:rsidRPr="00671E3A">
              <w:rPr>
                <w:rFonts w:ascii="Arial" w:hAnsi="Arial" w:cs="Arial"/>
                <w:b/>
                <w:bCs/>
                <w:sz w:val="20"/>
              </w:rPr>
              <w:t>2 876,86</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8. Francúzsko</w:t>
            </w:r>
            <w:r w:rsidRPr="00671E3A">
              <w:rPr>
                <w:rFonts w:ascii="Arial" w:hAnsi="Arial" w:cs="Arial"/>
                <w:b/>
                <w:sz w:val="20"/>
              </w:rPr>
              <w:tab/>
            </w:r>
            <w:r w:rsidR="00A1351D" w:rsidRPr="00671E3A">
              <w:rPr>
                <w:rFonts w:ascii="Arial" w:hAnsi="Arial" w:cs="Arial"/>
                <w:b/>
                <w:bCs/>
                <w:sz w:val="20"/>
              </w:rPr>
              <w:t>3 443,65</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9. Grécko</w:t>
            </w:r>
            <w:r w:rsidRPr="00671E3A">
              <w:rPr>
                <w:rFonts w:ascii="Arial" w:hAnsi="Arial" w:cs="Arial"/>
                <w:b/>
                <w:sz w:val="20"/>
              </w:rPr>
              <w:tab/>
            </w:r>
            <w:r w:rsidR="00A1351D" w:rsidRPr="00671E3A">
              <w:rPr>
                <w:rFonts w:ascii="Arial" w:hAnsi="Arial" w:cs="Arial"/>
                <w:b/>
                <w:bCs/>
                <w:sz w:val="20"/>
              </w:rPr>
              <w:t>2 968,03</w:t>
            </w:r>
            <w:r w:rsidRPr="00671E3A">
              <w:rPr>
                <w:rFonts w:ascii="Arial" w:hAnsi="Arial" w:cs="Arial"/>
                <w:b/>
                <w:bCs/>
                <w:sz w:val="20"/>
              </w:rPr>
              <w:t> </w:t>
            </w:r>
            <w:r w:rsidRPr="00671E3A">
              <w:rPr>
                <w:rFonts w:ascii="Arial" w:hAnsi="Arial" w:cs="Arial"/>
                <w:b/>
                <w:sz w:val="20"/>
              </w:rPr>
              <w:t>EUR</w:t>
            </w:r>
          </w:p>
          <w:p w:rsidR="00B43CFF" w:rsidRPr="00671E3A" w:rsidRDefault="00F03B1A" w:rsidP="00B43CFF">
            <w:pPr>
              <w:pStyle w:val="BodyText"/>
              <w:tabs>
                <w:tab w:val="left" w:pos="3780"/>
              </w:tabs>
              <w:rPr>
                <w:rFonts w:ascii="Arial" w:hAnsi="Arial" w:cs="Arial"/>
                <w:b/>
                <w:sz w:val="20"/>
              </w:rPr>
            </w:pPr>
            <w:r w:rsidRPr="00671E3A">
              <w:rPr>
                <w:rFonts w:ascii="Arial" w:hAnsi="Arial" w:cs="Arial"/>
                <w:b/>
                <w:sz w:val="20"/>
              </w:rPr>
              <w:t>10. Holandsko</w:t>
            </w:r>
            <w:r w:rsidR="00390DBF" w:rsidRPr="00671E3A">
              <w:rPr>
                <w:rFonts w:ascii="Arial" w:hAnsi="Arial" w:cs="Arial"/>
                <w:b/>
                <w:sz w:val="20"/>
              </w:rPr>
              <w:tab/>
            </w:r>
            <w:r w:rsidR="00B43CFF" w:rsidRPr="00671E3A">
              <w:rPr>
                <w:rFonts w:ascii="Arial" w:hAnsi="Arial" w:cs="Arial"/>
                <w:b/>
                <w:bCs/>
                <w:sz w:val="20"/>
              </w:rPr>
              <w:fldChar w:fldCharType="begin">
                <w:ffData>
                  <w:name w:val="Text13"/>
                  <w:enabled/>
                  <w:calcOnExit w:val="0"/>
                  <w:textInput/>
                </w:ffData>
              </w:fldChar>
            </w:r>
            <w:r w:rsidR="00B43CFF" w:rsidRPr="00671E3A">
              <w:rPr>
                <w:rFonts w:ascii="Arial" w:hAnsi="Arial" w:cs="Arial"/>
                <w:b/>
                <w:bCs/>
                <w:sz w:val="20"/>
              </w:rPr>
              <w:instrText xml:space="preserve"> FORMTEXT </w:instrText>
            </w:r>
            <w:r w:rsidR="00B43CFF" w:rsidRPr="00671E3A">
              <w:rPr>
                <w:rFonts w:ascii="Arial" w:hAnsi="Arial" w:cs="Arial"/>
                <w:b/>
                <w:bCs/>
                <w:sz w:val="20"/>
              </w:rPr>
            </w:r>
            <w:r w:rsidR="00B43CFF" w:rsidRPr="00671E3A">
              <w:rPr>
                <w:rFonts w:ascii="Arial" w:hAnsi="Arial" w:cs="Arial"/>
                <w:b/>
                <w:bCs/>
                <w:sz w:val="20"/>
              </w:rPr>
              <w:fldChar w:fldCharType="separate"/>
            </w:r>
            <w:r w:rsidR="008F5D1C" w:rsidRPr="00671E3A">
              <w:rPr>
                <w:rFonts w:ascii="Arial" w:hAnsi="Arial" w:cs="Arial"/>
                <w:b/>
                <w:bCs/>
                <w:sz w:val="20"/>
              </w:rPr>
              <w:t> </w:t>
            </w:r>
            <w:r w:rsidR="008F5D1C" w:rsidRPr="00671E3A">
              <w:rPr>
                <w:rFonts w:ascii="Arial" w:hAnsi="Arial" w:cs="Arial"/>
                <w:b/>
                <w:bCs/>
                <w:sz w:val="20"/>
              </w:rPr>
              <w:t> </w:t>
            </w:r>
            <w:r w:rsidR="008F5D1C" w:rsidRPr="00671E3A">
              <w:rPr>
                <w:rFonts w:ascii="Arial" w:hAnsi="Arial" w:cs="Arial"/>
                <w:b/>
                <w:bCs/>
                <w:sz w:val="20"/>
              </w:rPr>
              <w:t> </w:t>
            </w:r>
            <w:r w:rsidR="008F5D1C" w:rsidRPr="00671E3A">
              <w:rPr>
                <w:rFonts w:ascii="Arial" w:hAnsi="Arial" w:cs="Arial"/>
                <w:b/>
                <w:bCs/>
                <w:sz w:val="20"/>
              </w:rPr>
              <w:t> </w:t>
            </w:r>
            <w:r w:rsidR="008F5D1C" w:rsidRPr="00671E3A">
              <w:rPr>
                <w:rFonts w:ascii="Arial" w:hAnsi="Arial" w:cs="Arial"/>
                <w:b/>
                <w:bCs/>
                <w:sz w:val="20"/>
              </w:rPr>
              <w:t> </w:t>
            </w:r>
            <w:r w:rsidR="00B43CFF" w:rsidRPr="00671E3A">
              <w:rPr>
                <w:rFonts w:ascii="Arial" w:hAnsi="Arial" w:cs="Arial"/>
                <w:b/>
                <w:bCs/>
                <w:sz w:val="20"/>
              </w:rPr>
              <w:fldChar w:fldCharType="end"/>
            </w:r>
            <w:r w:rsidR="00B43CFF" w:rsidRPr="00671E3A">
              <w:rPr>
                <w:rFonts w:ascii="Arial" w:hAnsi="Arial" w:cs="Arial"/>
                <w:b/>
                <w:bCs/>
                <w:sz w:val="20"/>
              </w:rPr>
              <w:t> </w:t>
            </w:r>
            <w:r w:rsidR="00B43CFF" w:rsidRPr="00671E3A">
              <w:rPr>
                <w:rFonts w:ascii="Arial" w:hAnsi="Arial" w:cs="Arial"/>
                <w:b/>
                <w:sz w:val="20"/>
              </w:rPr>
              <w:t>EUR</w:t>
            </w:r>
          </w:p>
          <w:p w:rsidR="00F03B1A" w:rsidRPr="00671E3A" w:rsidRDefault="00FD641B" w:rsidP="00772478">
            <w:pPr>
              <w:pStyle w:val="BodyText"/>
              <w:tabs>
                <w:tab w:val="left" w:pos="3780"/>
              </w:tabs>
              <w:rPr>
                <w:rFonts w:ascii="Arial" w:hAnsi="Arial" w:cs="Arial"/>
                <w:b/>
                <w:sz w:val="20"/>
              </w:rPr>
            </w:pPr>
            <w:r w:rsidRPr="00671E3A">
              <w:rPr>
                <w:rFonts w:ascii="Arial" w:hAnsi="Arial" w:cs="Arial"/>
                <w:b/>
                <w:sz w:val="20"/>
              </w:rPr>
              <w:t>11. Chorvátsko</w:t>
            </w:r>
            <w:r w:rsidR="00390DBF"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00F03B1A"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E5319C" w:rsidRPr="00671E3A">
              <w:rPr>
                <w:rFonts w:ascii="Arial" w:hAnsi="Arial" w:cs="Arial"/>
                <w:b/>
                <w:bCs/>
                <w:sz w:val="20"/>
              </w:rPr>
              <w:fldChar w:fldCharType="end"/>
            </w:r>
            <w:r w:rsidR="00F03B1A" w:rsidRPr="00671E3A">
              <w:rPr>
                <w:rFonts w:ascii="Arial" w:hAnsi="Arial" w:cs="Arial"/>
                <w:b/>
                <w:bCs/>
                <w:sz w:val="20"/>
              </w:rPr>
              <w:t> </w:t>
            </w:r>
            <w:r w:rsidRPr="00671E3A">
              <w:rPr>
                <w:rFonts w:ascii="Arial" w:hAnsi="Arial" w:cs="Arial"/>
                <w:b/>
                <w:bCs/>
                <w:sz w:val="20"/>
              </w:rPr>
              <w:t>HRK</w:t>
            </w:r>
            <w:r w:rsidR="00B43CFF" w:rsidRPr="00671E3A">
              <w:rPr>
                <w:rFonts w:ascii="Arial" w:hAnsi="Arial" w:cs="Arial"/>
                <w:b/>
                <w:bCs/>
                <w:sz w:val="20"/>
              </w:rPr>
              <w:t xml:space="preserve">     </w:t>
            </w:r>
            <w:r w:rsidR="00B43CFF" w:rsidRPr="00671E3A">
              <w:rPr>
                <w:rFonts w:ascii="Arial" w:hAnsi="Arial" w:cs="Arial"/>
                <w:b/>
                <w:bCs/>
                <w:sz w:val="20"/>
              </w:rPr>
              <w:fldChar w:fldCharType="begin">
                <w:ffData>
                  <w:name w:val="Text13"/>
                  <w:enabled/>
                  <w:calcOnExit w:val="0"/>
                  <w:textInput/>
                </w:ffData>
              </w:fldChar>
            </w:r>
            <w:r w:rsidR="00B43CFF" w:rsidRPr="00671E3A">
              <w:rPr>
                <w:rFonts w:ascii="Arial" w:hAnsi="Arial" w:cs="Arial"/>
                <w:b/>
                <w:bCs/>
                <w:sz w:val="20"/>
              </w:rPr>
              <w:instrText xml:space="preserve"> FORMTEXT </w:instrText>
            </w:r>
            <w:r w:rsidR="00B43CFF" w:rsidRPr="00671E3A">
              <w:rPr>
                <w:rFonts w:ascii="Arial" w:hAnsi="Arial" w:cs="Arial"/>
                <w:b/>
                <w:bCs/>
                <w:sz w:val="20"/>
              </w:rPr>
            </w:r>
            <w:r w:rsidR="00B43CFF" w:rsidRPr="00671E3A">
              <w:rPr>
                <w:rFonts w:ascii="Arial" w:hAnsi="Arial" w:cs="Arial"/>
                <w:b/>
                <w:bCs/>
                <w:sz w:val="20"/>
              </w:rPr>
              <w:fldChar w:fldCharType="separate"/>
            </w:r>
            <w:r w:rsidR="00B43CFF" w:rsidRPr="00671E3A">
              <w:rPr>
                <w:rFonts w:ascii="Arial" w:hAnsi="Arial" w:cs="Arial"/>
                <w:b/>
                <w:bCs/>
                <w:noProof/>
                <w:sz w:val="20"/>
              </w:rPr>
              <w:t> </w:t>
            </w:r>
            <w:r w:rsidR="00B43CFF" w:rsidRPr="00671E3A">
              <w:rPr>
                <w:rFonts w:ascii="Arial" w:hAnsi="Arial" w:cs="Arial"/>
                <w:b/>
                <w:bCs/>
                <w:noProof/>
                <w:sz w:val="20"/>
              </w:rPr>
              <w:t> </w:t>
            </w:r>
            <w:r w:rsidR="00B43CFF" w:rsidRPr="00671E3A">
              <w:rPr>
                <w:rFonts w:ascii="Arial" w:hAnsi="Arial" w:cs="Arial"/>
                <w:b/>
                <w:bCs/>
                <w:noProof/>
                <w:sz w:val="20"/>
              </w:rPr>
              <w:t> </w:t>
            </w:r>
            <w:r w:rsidR="00B43CFF" w:rsidRPr="00671E3A">
              <w:rPr>
                <w:rFonts w:ascii="Arial" w:hAnsi="Arial" w:cs="Arial"/>
                <w:b/>
                <w:bCs/>
                <w:noProof/>
                <w:sz w:val="20"/>
              </w:rPr>
              <w:t> </w:t>
            </w:r>
            <w:r w:rsidR="00B43CFF" w:rsidRPr="00671E3A">
              <w:rPr>
                <w:rFonts w:ascii="Arial" w:hAnsi="Arial" w:cs="Arial"/>
                <w:b/>
                <w:bCs/>
                <w:noProof/>
                <w:sz w:val="20"/>
              </w:rPr>
              <w:t> </w:t>
            </w:r>
            <w:r w:rsidR="00B43CFF" w:rsidRPr="00671E3A">
              <w:rPr>
                <w:rFonts w:ascii="Arial" w:hAnsi="Arial" w:cs="Arial"/>
                <w:b/>
                <w:bCs/>
                <w:sz w:val="20"/>
              </w:rPr>
              <w:fldChar w:fldCharType="end"/>
            </w:r>
            <w:r w:rsidR="00B43CFF" w:rsidRPr="00671E3A">
              <w:rPr>
                <w:rFonts w:ascii="Arial" w:hAnsi="Arial" w:cs="Arial"/>
                <w:b/>
                <w:bCs/>
                <w:sz w:val="20"/>
              </w:rPr>
              <w:t> </w:t>
            </w:r>
            <w:r w:rsidR="00B43CFF"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2</w:t>
            </w:r>
            <w:r w:rsidRPr="00671E3A">
              <w:rPr>
                <w:rFonts w:ascii="Arial" w:hAnsi="Arial" w:cs="Arial"/>
                <w:b/>
                <w:sz w:val="20"/>
              </w:rPr>
              <w:t>. Írsko</w:t>
            </w:r>
            <w:r w:rsidRPr="00671E3A">
              <w:rPr>
                <w:rFonts w:ascii="Arial" w:hAnsi="Arial" w:cs="Arial"/>
                <w:b/>
                <w:sz w:val="20"/>
              </w:rPr>
              <w:tab/>
            </w:r>
            <w:r w:rsidR="005A421E" w:rsidRPr="005A421E">
              <w:rPr>
                <w:rFonts w:ascii="Arial" w:hAnsi="Arial" w:cs="Arial"/>
                <w:b/>
                <w:bCs/>
                <w:sz w:val="20"/>
              </w:rPr>
              <w:t>3</w:t>
            </w:r>
            <w:r w:rsidR="005A421E">
              <w:rPr>
                <w:rFonts w:ascii="Arial" w:hAnsi="Arial" w:cs="Arial"/>
                <w:b/>
                <w:bCs/>
                <w:sz w:val="20"/>
              </w:rPr>
              <w:t xml:space="preserve"> </w:t>
            </w:r>
            <w:r w:rsidR="005A421E" w:rsidRPr="005A421E">
              <w:rPr>
                <w:rFonts w:ascii="Arial" w:hAnsi="Arial" w:cs="Arial"/>
                <w:b/>
                <w:bCs/>
                <w:sz w:val="20"/>
              </w:rPr>
              <w:t>569,66</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3</w:t>
            </w:r>
            <w:r w:rsidRPr="00671E3A">
              <w:rPr>
                <w:rFonts w:ascii="Arial" w:hAnsi="Arial" w:cs="Arial"/>
                <w:b/>
                <w:sz w:val="20"/>
              </w:rPr>
              <w:t>. Litva</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00EC01ED" w:rsidRPr="00671E3A">
              <w:rPr>
                <w:rFonts w:ascii="Arial" w:hAnsi="Arial" w:cs="Arial"/>
                <w:b/>
                <w:sz w:val="20"/>
              </w:rPr>
              <w:t>EUR</w:t>
            </w:r>
            <w:r w:rsidRPr="00671E3A">
              <w:rPr>
                <w:rFonts w:ascii="Arial" w:hAnsi="Arial" w:cs="Arial"/>
                <w:b/>
                <w:sz w:val="20"/>
              </w:rPr>
              <w:tab/>
              <w:t xml:space="preserve">   </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4</w:t>
            </w:r>
            <w:r w:rsidRPr="00671E3A">
              <w:rPr>
                <w:rFonts w:ascii="Arial" w:hAnsi="Arial" w:cs="Arial"/>
                <w:b/>
                <w:sz w:val="20"/>
              </w:rPr>
              <w:t>. Lotyšsko</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008F5D1C" w:rsidRPr="00671E3A">
              <w:rPr>
                <w:rFonts w:ascii="Arial" w:hAnsi="Arial" w:cs="Arial"/>
                <w:b/>
                <w:sz w:val="20"/>
              </w:rPr>
              <w:t>EUR</w:t>
            </w:r>
            <w:r w:rsidRPr="00671E3A">
              <w:rPr>
                <w:rFonts w:ascii="Arial" w:hAnsi="Arial" w:cs="Arial"/>
                <w:b/>
                <w:sz w:val="20"/>
              </w:rPr>
              <w:tab/>
              <w:t xml:space="preserve">   </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5</w:t>
            </w:r>
            <w:r w:rsidRPr="00671E3A">
              <w:rPr>
                <w:rFonts w:ascii="Arial" w:hAnsi="Arial" w:cs="Arial"/>
                <w:b/>
                <w:sz w:val="20"/>
              </w:rPr>
              <w:t>. Luxembursko</w:t>
            </w:r>
            <w:r w:rsidRPr="00671E3A">
              <w:rPr>
                <w:rFonts w:ascii="Arial" w:hAnsi="Arial" w:cs="Arial"/>
                <w:b/>
                <w:sz w:val="20"/>
              </w:rPr>
              <w:tab/>
            </w:r>
            <w:r w:rsidR="00A1351D" w:rsidRPr="00671E3A">
              <w:rPr>
                <w:rFonts w:ascii="Arial" w:hAnsi="Arial" w:cs="Arial"/>
                <w:b/>
                <w:bCs/>
                <w:sz w:val="20"/>
              </w:rPr>
              <w:t>3 373,23</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6</w:t>
            </w:r>
            <w:r w:rsidRPr="00671E3A">
              <w:rPr>
                <w:rFonts w:ascii="Arial" w:hAnsi="Arial" w:cs="Arial"/>
                <w:b/>
                <w:sz w:val="20"/>
              </w:rPr>
              <w:t>. Maďarsko</w:t>
            </w:r>
            <w:r w:rsidRPr="00671E3A">
              <w:rPr>
                <w:rFonts w:ascii="Arial" w:hAnsi="Arial" w:cs="Arial"/>
                <w:b/>
                <w:sz w:val="20"/>
              </w:rPr>
              <w:tab/>
            </w:r>
            <w:r w:rsidR="00472695" w:rsidRPr="00472695">
              <w:rPr>
                <w:rFonts w:ascii="Arial" w:hAnsi="Arial" w:cs="Arial"/>
                <w:b/>
                <w:bCs/>
                <w:sz w:val="20"/>
              </w:rPr>
              <w:t>892</w:t>
            </w:r>
            <w:r w:rsidR="00947242">
              <w:rPr>
                <w:rFonts w:ascii="Arial" w:hAnsi="Arial" w:cs="Arial"/>
                <w:b/>
                <w:bCs/>
                <w:sz w:val="20"/>
              </w:rPr>
              <w:t> </w:t>
            </w:r>
            <w:r w:rsidR="00472695" w:rsidRPr="00472695">
              <w:rPr>
                <w:rFonts w:ascii="Arial" w:hAnsi="Arial" w:cs="Arial"/>
                <w:b/>
                <w:bCs/>
                <w:sz w:val="20"/>
              </w:rPr>
              <w:t>517</w:t>
            </w:r>
            <w:r w:rsidR="00947242">
              <w:rPr>
                <w:rFonts w:ascii="Arial" w:hAnsi="Arial" w:cs="Arial"/>
                <w:b/>
                <w:bCs/>
                <w:sz w:val="20"/>
              </w:rPr>
              <w:t>,00</w:t>
            </w:r>
            <w:r w:rsidR="00472695">
              <w:rPr>
                <w:rFonts w:ascii="Arial" w:hAnsi="Arial" w:cs="Arial"/>
                <w:b/>
                <w:bCs/>
                <w:sz w:val="20"/>
              </w:rPr>
              <w:t xml:space="preserve"> </w:t>
            </w:r>
            <w:r w:rsidRPr="00671E3A">
              <w:rPr>
                <w:rFonts w:ascii="Arial" w:hAnsi="Arial" w:cs="Arial"/>
                <w:b/>
                <w:sz w:val="20"/>
              </w:rPr>
              <w:t>HUF</w:t>
            </w:r>
            <w:r w:rsidRPr="00671E3A">
              <w:rPr>
                <w:rFonts w:ascii="Arial" w:hAnsi="Arial" w:cs="Arial"/>
                <w:b/>
                <w:sz w:val="20"/>
              </w:rPr>
              <w:tab/>
              <w:t xml:space="preserve">   </w:t>
            </w:r>
            <w:r w:rsidR="00A1351D" w:rsidRPr="00947242">
              <w:rPr>
                <w:rFonts w:ascii="Arial" w:hAnsi="Arial" w:cs="Arial"/>
                <w:b/>
                <w:bCs/>
                <w:sz w:val="20"/>
              </w:rPr>
              <w:t>2 883,97</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7</w:t>
            </w:r>
            <w:r w:rsidRPr="00671E3A">
              <w:rPr>
                <w:rFonts w:ascii="Arial" w:hAnsi="Arial" w:cs="Arial"/>
                <w:b/>
                <w:sz w:val="20"/>
              </w:rPr>
              <w:t>. Malta</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8</w:t>
            </w:r>
            <w:r w:rsidRPr="00671E3A">
              <w:rPr>
                <w:rFonts w:ascii="Arial" w:hAnsi="Arial" w:cs="Arial"/>
                <w:b/>
                <w:sz w:val="20"/>
              </w:rPr>
              <w:t>. Nemecko</w:t>
            </w:r>
            <w:r w:rsidRPr="00671E3A">
              <w:rPr>
                <w:rFonts w:ascii="Arial" w:hAnsi="Arial" w:cs="Arial"/>
                <w:b/>
                <w:sz w:val="20"/>
              </w:rPr>
              <w:tab/>
            </w:r>
            <w:r w:rsidR="005A421E" w:rsidRPr="005A421E">
              <w:rPr>
                <w:rFonts w:ascii="Arial" w:hAnsi="Arial" w:cs="Arial"/>
                <w:b/>
                <w:bCs/>
                <w:sz w:val="20"/>
              </w:rPr>
              <w:t>3</w:t>
            </w:r>
            <w:r w:rsidR="005A421E">
              <w:rPr>
                <w:rFonts w:ascii="Arial" w:hAnsi="Arial" w:cs="Arial"/>
                <w:b/>
                <w:bCs/>
                <w:sz w:val="20"/>
              </w:rPr>
              <w:t xml:space="preserve"> </w:t>
            </w:r>
            <w:r w:rsidR="005A421E" w:rsidRPr="005A421E">
              <w:rPr>
                <w:rFonts w:ascii="Arial" w:hAnsi="Arial" w:cs="Arial"/>
                <w:b/>
                <w:bCs/>
                <w:sz w:val="20"/>
              </w:rPr>
              <w:t>178,77</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1</w:t>
            </w:r>
            <w:r w:rsidR="00B43CFF" w:rsidRPr="00671E3A">
              <w:rPr>
                <w:rFonts w:ascii="Arial" w:hAnsi="Arial" w:cs="Arial"/>
                <w:b/>
                <w:sz w:val="20"/>
              </w:rPr>
              <w:t>9</w:t>
            </w:r>
            <w:r w:rsidRPr="00671E3A">
              <w:rPr>
                <w:rFonts w:ascii="Arial" w:hAnsi="Arial" w:cs="Arial"/>
                <w:b/>
                <w:sz w:val="20"/>
              </w:rPr>
              <w:t>. Poľsko</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PLN</w:t>
            </w:r>
            <w:r w:rsidRPr="00671E3A">
              <w:rPr>
                <w:rFonts w:ascii="Arial" w:hAnsi="Arial" w:cs="Arial"/>
                <w:b/>
                <w:sz w:val="20"/>
              </w:rPr>
              <w:tab/>
              <w:t xml:space="preserve">   </w:t>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EUR</w:t>
            </w:r>
          </w:p>
          <w:p w:rsidR="00F03B1A" w:rsidRPr="00671E3A" w:rsidRDefault="00B43CFF" w:rsidP="00772478">
            <w:pPr>
              <w:pStyle w:val="BodyText"/>
              <w:tabs>
                <w:tab w:val="left" w:pos="3780"/>
              </w:tabs>
              <w:rPr>
                <w:rFonts w:ascii="Arial" w:hAnsi="Arial" w:cs="Arial"/>
                <w:b/>
                <w:sz w:val="20"/>
              </w:rPr>
            </w:pPr>
            <w:r w:rsidRPr="00671E3A">
              <w:rPr>
                <w:rFonts w:ascii="Arial" w:hAnsi="Arial" w:cs="Arial"/>
                <w:b/>
                <w:sz w:val="20"/>
              </w:rPr>
              <w:t>20</w:t>
            </w:r>
            <w:r w:rsidR="00F03B1A" w:rsidRPr="00671E3A">
              <w:rPr>
                <w:rFonts w:ascii="Arial" w:hAnsi="Arial" w:cs="Arial"/>
                <w:b/>
                <w:sz w:val="20"/>
              </w:rPr>
              <w:t>. Portugalsko</w:t>
            </w:r>
            <w:r w:rsidR="00F03B1A"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00F03B1A"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F03B1A" w:rsidRPr="00671E3A">
              <w:rPr>
                <w:rFonts w:ascii="Arial" w:hAnsi="Arial" w:cs="Arial"/>
                <w:b/>
                <w:bCs/>
                <w:noProof/>
                <w:sz w:val="20"/>
              </w:rPr>
              <w:t> </w:t>
            </w:r>
            <w:r w:rsidR="00E5319C" w:rsidRPr="00671E3A">
              <w:rPr>
                <w:rFonts w:ascii="Arial" w:hAnsi="Arial" w:cs="Arial"/>
                <w:b/>
                <w:bCs/>
                <w:sz w:val="20"/>
              </w:rPr>
              <w:fldChar w:fldCharType="end"/>
            </w:r>
            <w:r w:rsidR="00F03B1A" w:rsidRPr="00671E3A">
              <w:rPr>
                <w:rFonts w:ascii="Arial" w:hAnsi="Arial" w:cs="Arial"/>
                <w:b/>
                <w:bCs/>
                <w:sz w:val="20"/>
              </w:rPr>
              <w:t> </w:t>
            </w:r>
            <w:r w:rsidR="00F03B1A"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1</w:t>
            </w:r>
            <w:r w:rsidRPr="00671E3A">
              <w:rPr>
                <w:rFonts w:ascii="Arial" w:hAnsi="Arial" w:cs="Arial"/>
                <w:b/>
                <w:sz w:val="20"/>
              </w:rPr>
              <w:t>. Rakúsko</w:t>
            </w:r>
            <w:r w:rsidRPr="00671E3A">
              <w:rPr>
                <w:rFonts w:ascii="Arial" w:hAnsi="Arial" w:cs="Arial"/>
                <w:b/>
                <w:sz w:val="20"/>
              </w:rPr>
              <w:tab/>
            </w:r>
            <w:r w:rsidR="00A1351D" w:rsidRPr="00671E3A">
              <w:rPr>
                <w:rFonts w:ascii="Arial" w:hAnsi="Arial" w:cs="Arial"/>
                <w:b/>
                <w:bCs/>
                <w:sz w:val="20"/>
              </w:rPr>
              <w:t>3 836,00</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2</w:t>
            </w:r>
            <w:r w:rsidRPr="00671E3A">
              <w:rPr>
                <w:rFonts w:ascii="Arial" w:hAnsi="Arial" w:cs="Arial"/>
                <w:b/>
                <w:sz w:val="20"/>
              </w:rPr>
              <w:t>. Rumunsko</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RON</w:t>
            </w:r>
            <w:r w:rsidRPr="00671E3A">
              <w:rPr>
                <w:rFonts w:ascii="Arial" w:hAnsi="Arial" w:cs="Arial"/>
                <w:b/>
                <w:sz w:val="20"/>
              </w:rPr>
              <w:tab/>
              <w:t xml:space="preserve">   </w:t>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3</w:t>
            </w:r>
            <w:r w:rsidRPr="00671E3A">
              <w:rPr>
                <w:rFonts w:ascii="Arial" w:hAnsi="Arial" w:cs="Arial"/>
                <w:b/>
                <w:sz w:val="20"/>
              </w:rPr>
              <w:t>. Slovinsko</w:t>
            </w:r>
            <w:r w:rsidRPr="00671E3A">
              <w:rPr>
                <w:rFonts w:ascii="Arial" w:hAnsi="Arial" w:cs="Arial"/>
                <w:b/>
                <w:sz w:val="20"/>
              </w:rPr>
              <w:tab/>
            </w:r>
            <w:r w:rsidR="00E5319C" w:rsidRPr="00671E3A">
              <w:rPr>
                <w:rFonts w:ascii="Arial" w:hAnsi="Arial" w:cs="Arial"/>
                <w:b/>
                <w:bCs/>
                <w:sz w:val="20"/>
              </w:rPr>
              <w:fldChar w:fldCharType="begin">
                <w:ffData>
                  <w:name w:val="Text13"/>
                  <w:enabled/>
                  <w:calcOnExit w:val="0"/>
                  <w:textInput/>
                </w:ffData>
              </w:fldChar>
            </w:r>
            <w:r w:rsidRPr="00671E3A">
              <w:rPr>
                <w:rFonts w:ascii="Arial" w:hAnsi="Arial" w:cs="Arial"/>
                <w:b/>
                <w:bCs/>
                <w:sz w:val="20"/>
              </w:rPr>
              <w:instrText xml:space="preserve"> FORMTEXT </w:instrText>
            </w:r>
            <w:r w:rsidR="00E5319C" w:rsidRPr="00671E3A">
              <w:rPr>
                <w:rFonts w:ascii="Arial" w:hAnsi="Arial" w:cs="Arial"/>
                <w:b/>
                <w:bCs/>
                <w:sz w:val="20"/>
              </w:rPr>
            </w:r>
            <w:r w:rsidR="00E5319C" w:rsidRPr="00671E3A">
              <w:rPr>
                <w:rFonts w:ascii="Arial" w:hAnsi="Arial" w:cs="Arial"/>
                <w:b/>
                <w:bCs/>
                <w:sz w:val="20"/>
              </w:rPr>
              <w:fldChar w:fldCharType="separate"/>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Pr="00671E3A">
              <w:rPr>
                <w:rFonts w:ascii="Arial" w:hAnsi="Arial" w:cs="Arial"/>
                <w:b/>
                <w:bCs/>
                <w:noProof/>
                <w:sz w:val="20"/>
              </w:rPr>
              <w:t> </w:t>
            </w:r>
            <w:r w:rsidR="00E5319C" w:rsidRPr="00671E3A">
              <w:rPr>
                <w:rFonts w:ascii="Arial" w:hAnsi="Arial" w:cs="Arial"/>
                <w:b/>
                <w:bCs/>
                <w:sz w:val="20"/>
              </w:rPr>
              <w:fldChar w:fldCharType="end"/>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4</w:t>
            </w:r>
            <w:r w:rsidRPr="00671E3A">
              <w:rPr>
                <w:rFonts w:ascii="Arial" w:hAnsi="Arial" w:cs="Arial"/>
                <w:b/>
                <w:sz w:val="20"/>
              </w:rPr>
              <w:t>. Španielsko</w:t>
            </w:r>
            <w:r w:rsidRPr="00671E3A">
              <w:rPr>
                <w:rFonts w:ascii="Arial" w:hAnsi="Arial" w:cs="Arial"/>
                <w:b/>
                <w:sz w:val="20"/>
              </w:rPr>
              <w:tab/>
            </w:r>
            <w:r w:rsidR="00A1351D" w:rsidRPr="00671E3A">
              <w:rPr>
                <w:rFonts w:ascii="Arial" w:hAnsi="Arial" w:cs="Arial"/>
                <w:b/>
                <w:bCs/>
                <w:sz w:val="20"/>
              </w:rPr>
              <w:t>3 583,33</w:t>
            </w:r>
            <w:r w:rsidRPr="00671E3A">
              <w:rPr>
                <w:rFonts w:ascii="Arial" w:hAnsi="Arial" w:cs="Arial"/>
                <w:b/>
                <w:bCs/>
                <w:sz w:val="20"/>
              </w:rPr>
              <w:t> </w:t>
            </w:r>
            <w:r w:rsidRPr="00671E3A">
              <w:rPr>
                <w:rFonts w:ascii="Arial" w:hAnsi="Arial" w:cs="Arial"/>
                <w:b/>
                <w:sz w:val="20"/>
              </w:rPr>
              <w:t>EUR</w:t>
            </w:r>
          </w:p>
          <w:p w:rsidR="00F03B1A" w:rsidRPr="00671E3A"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5</w:t>
            </w:r>
            <w:r w:rsidRPr="00671E3A">
              <w:rPr>
                <w:rFonts w:ascii="Arial" w:hAnsi="Arial" w:cs="Arial"/>
                <w:b/>
                <w:sz w:val="20"/>
              </w:rPr>
              <w:t>. Spojené kráľovstvo</w:t>
            </w:r>
            <w:r w:rsidRPr="00671E3A">
              <w:rPr>
                <w:rFonts w:ascii="Arial" w:hAnsi="Arial" w:cs="Arial"/>
                <w:b/>
                <w:sz w:val="20"/>
              </w:rPr>
              <w:tab/>
            </w:r>
            <w:r w:rsidR="008247DE" w:rsidRPr="00671E3A">
              <w:rPr>
                <w:rFonts w:ascii="Arial" w:hAnsi="Arial" w:cs="Arial"/>
                <w:b/>
                <w:bCs/>
                <w:sz w:val="20"/>
              </w:rPr>
              <w:t>2 856,00</w:t>
            </w:r>
            <w:r w:rsidRPr="00671E3A">
              <w:rPr>
                <w:rFonts w:ascii="Arial" w:hAnsi="Arial" w:cs="Arial"/>
                <w:b/>
                <w:bCs/>
                <w:sz w:val="20"/>
              </w:rPr>
              <w:t> </w:t>
            </w:r>
            <w:r w:rsidRPr="00671E3A">
              <w:rPr>
                <w:rFonts w:ascii="Arial" w:hAnsi="Arial" w:cs="Arial"/>
                <w:b/>
                <w:sz w:val="20"/>
              </w:rPr>
              <w:t>GBP</w:t>
            </w:r>
            <w:r w:rsidRPr="00671E3A">
              <w:rPr>
                <w:rFonts w:ascii="Arial" w:hAnsi="Arial" w:cs="Arial"/>
                <w:b/>
                <w:sz w:val="20"/>
              </w:rPr>
              <w:tab/>
              <w:t xml:space="preserve">   </w:t>
            </w:r>
            <w:r w:rsidR="00A1351D" w:rsidRPr="00671E3A">
              <w:rPr>
                <w:rFonts w:ascii="Arial" w:hAnsi="Arial" w:cs="Arial"/>
                <w:b/>
                <w:bCs/>
                <w:sz w:val="20"/>
              </w:rPr>
              <w:t>3 241,77</w:t>
            </w:r>
            <w:r w:rsidRPr="00671E3A">
              <w:rPr>
                <w:rFonts w:ascii="Arial" w:hAnsi="Arial" w:cs="Arial"/>
                <w:b/>
                <w:bCs/>
                <w:sz w:val="20"/>
              </w:rPr>
              <w:t> </w:t>
            </w:r>
            <w:r w:rsidRPr="00671E3A">
              <w:rPr>
                <w:rFonts w:ascii="Arial" w:hAnsi="Arial" w:cs="Arial"/>
                <w:b/>
                <w:sz w:val="20"/>
              </w:rPr>
              <w:t>EUR</w:t>
            </w:r>
          </w:p>
          <w:p w:rsidR="00F03B1A" w:rsidRPr="00153D04" w:rsidRDefault="00F03B1A" w:rsidP="00772478">
            <w:pPr>
              <w:pStyle w:val="BodyText"/>
              <w:tabs>
                <w:tab w:val="left" w:pos="3780"/>
              </w:tabs>
              <w:rPr>
                <w:rFonts w:ascii="Arial" w:hAnsi="Arial" w:cs="Arial"/>
                <w:b/>
                <w:sz w:val="20"/>
              </w:rPr>
            </w:pPr>
            <w:r w:rsidRPr="00671E3A">
              <w:rPr>
                <w:rFonts w:ascii="Arial" w:hAnsi="Arial" w:cs="Arial"/>
                <w:b/>
                <w:sz w:val="20"/>
              </w:rPr>
              <w:t>2</w:t>
            </w:r>
            <w:r w:rsidR="00B43CFF" w:rsidRPr="00671E3A">
              <w:rPr>
                <w:rFonts w:ascii="Arial" w:hAnsi="Arial" w:cs="Arial"/>
                <w:b/>
                <w:sz w:val="20"/>
              </w:rPr>
              <w:t>6</w:t>
            </w:r>
            <w:r w:rsidRPr="00671E3A">
              <w:rPr>
                <w:rFonts w:ascii="Arial" w:hAnsi="Arial" w:cs="Arial"/>
                <w:b/>
                <w:sz w:val="20"/>
              </w:rPr>
              <w:t>. Švédsko</w:t>
            </w:r>
            <w:r w:rsidRPr="00671E3A">
              <w:rPr>
                <w:rFonts w:ascii="Arial" w:hAnsi="Arial" w:cs="Arial"/>
                <w:b/>
                <w:sz w:val="20"/>
              </w:rPr>
              <w:tab/>
            </w:r>
            <w:r w:rsidR="008247DE" w:rsidRPr="00671E3A">
              <w:rPr>
                <w:rFonts w:ascii="Arial" w:hAnsi="Arial" w:cs="Arial"/>
                <w:b/>
                <w:bCs/>
                <w:sz w:val="20"/>
              </w:rPr>
              <w:t>34 238,86</w:t>
            </w:r>
            <w:r w:rsidRPr="00671E3A">
              <w:rPr>
                <w:rFonts w:ascii="Arial" w:hAnsi="Arial" w:cs="Arial"/>
                <w:b/>
                <w:bCs/>
                <w:sz w:val="20"/>
              </w:rPr>
              <w:t> </w:t>
            </w:r>
            <w:r w:rsidRPr="00671E3A">
              <w:rPr>
                <w:rFonts w:ascii="Arial" w:hAnsi="Arial" w:cs="Arial"/>
                <w:b/>
                <w:sz w:val="20"/>
              </w:rPr>
              <w:t>SEK</w:t>
            </w:r>
            <w:r w:rsidRPr="00671E3A">
              <w:rPr>
                <w:rFonts w:ascii="Arial" w:hAnsi="Arial" w:cs="Arial"/>
                <w:b/>
                <w:sz w:val="20"/>
              </w:rPr>
              <w:tab/>
              <w:t xml:space="preserve">   </w:t>
            </w:r>
            <w:r w:rsidR="00A1351D" w:rsidRPr="00671E3A">
              <w:rPr>
                <w:rFonts w:ascii="Arial" w:hAnsi="Arial" w:cs="Arial"/>
                <w:b/>
                <w:bCs/>
                <w:sz w:val="20"/>
              </w:rPr>
              <w:t>3 544,58</w:t>
            </w:r>
            <w:r>
              <w:rPr>
                <w:rFonts w:ascii="Arial" w:hAnsi="Arial" w:cs="Arial"/>
                <w:b/>
                <w:bCs/>
                <w:sz w:val="20"/>
              </w:rPr>
              <w:t> </w:t>
            </w:r>
            <w:r>
              <w:rPr>
                <w:rFonts w:ascii="Arial" w:hAnsi="Arial" w:cs="Arial"/>
                <w:b/>
                <w:sz w:val="20"/>
              </w:rPr>
              <w:t>EUR</w:t>
            </w:r>
          </w:p>
          <w:p w:rsidR="00F03B1A" w:rsidRDefault="00F03B1A" w:rsidP="00772478">
            <w:pPr>
              <w:pStyle w:val="BodyText"/>
              <w:tabs>
                <w:tab w:val="left" w:pos="3780"/>
              </w:tabs>
              <w:rPr>
                <w:rFonts w:ascii="Arial" w:hAnsi="Arial" w:cs="Arial"/>
                <w:b/>
                <w:sz w:val="20"/>
              </w:rPr>
            </w:pPr>
            <w:r>
              <w:rPr>
                <w:rFonts w:ascii="Arial" w:hAnsi="Arial" w:cs="Arial"/>
                <w:b/>
                <w:sz w:val="20"/>
              </w:rPr>
              <w:t>2</w:t>
            </w:r>
            <w:r w:rsidR="00B43CFF">
              <w:rPr>
                <w:rFonts w:ascii="Arial" w:hAnsi="Arial" w:cs="Arial"/>
                <w:b/>
                <w:sz w:val="20"/>
              </w:rPr>
              <w:t>7</w:t>
            </w:r>
            <w:r>
              <w:rPr>
                <w:rFonts w:ascii="Arial" w:hAnsi="Arial" w:cs="Arial"/>
                <w:b/>
                <w:sz w:val="20"/>
              </w:rPr>
              <w:t>. </w:t>
            </w:r>
            <w:r w:rsidRPr="00153D04">
              <w:rPr>
                <w:rFonts w:ascii="Arial" w:hAnsi="Arial" w:cs="Arial"/>
                <w:b/>
                <w:sz w:val="20"/>
              </w:rPr>
              <w:t>Taliansko</w:t>
            </w:r>
            <w:r w:rsidRPr="00153D04">
              <w:rPr>
                <w:rFonts w:ascii="Arial" w:hAnsi="Arial" w:cs="Arial"/>
                <w:b/>
                <w:sz w:val="20"/>
              </w:rPr>
              <w:tab/>
            </w:r>
            <w:r w:rsidR="00E5319C">
              <w:rPr>
                <w:rFonts w:ascii="Arial" w:hAnsi="Arial" w:cs="Arial"/>
                <w:b/>
                <w:bCs/>
                <w:sz w:val="20"/>
              </w:rPr>
              <w:fldChar w:fldCharType="begin">
                <w:ffData>
                  <w:name w:val="Text13"/>
                  <w:enabled/>
                  <w:calcOnExit w:val="0"/>
                  <w:textInput/>
                </w:ffData>
              </w:fldChar>
            </w:r>
            <w:r>
              <w:rPr>
                <w:rFonts w:ascii="Arial" w:hAnsi="Arial" w:cs="Arial"/>
                <w:b/>
                <w:bCs/>
                <w:sz w:val="20"/>
              </w:rPr>
              <w:instrText xml:space="preserve"> FORMTEXT </w:instrText>
            </w:r>
            <w:r w:rsidR="00E5319C">
              <w:rPr>
                <w:rFonts w:ascii="Arial" w:hAnsi="Arial" w:cs="Arial"/>
                <w:b/>
                <w:bCs/>
                <w:sz w:val="20"/>
              </w:rPr>
            </w:r>
            <w:r w:rsidR="00E5319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E5319C">
              <w:rPr>
                <w:rFonts w:ascii="Arial" w:hAnsi="Arial" w:cs="Arial"/>
                <w:b/>
                <w:bCs/>
                <w:sz w:val="20"/>
              </w:rPr>
              <w:fldChar w:fldCharType="end"/>
            </w:r>
            <w:r>
              <w:rPr>
                <w:rFonts w:ascii="Arial" w:hAnsi="Arial" w:cs="Arial"/>
                <w:b/>
                <w:bCs/>
                <w:sz w:val="20"/>
              </w:rPr>
              <w:t> </w:t>
            </w:r>
            <w:r w:rsidRPr="00153D04">
              <w:rPr>
                <w:rFonts w:ascii="Arial" w:hAnsi="Arial" w:cs="Arial"/>
                <w:b/>
                <w:sz w:val="20"/>
              </w:rPr>
              <w:t>EUR</w:t>
            </w:r>
          </w:p>
          <w:p w:rsidR="00F03B1A" w:rsidRDefault="00F03B1A" w:rsidP="00772478">
            <w:pPr>
              <w:pStyle w:val="BodyText"/>
              <w:tabs>
                <w:tab w:val="left" w:pos="3780"/>
              </w:tabs>
              <w:rPr>
                <w:rFonts w:ascii="Arial" w:hAnsi="Arial" w:cs="Arial"/>
                <w:b/>
                <w:iCs/>
                <w:sz w:val="20"/>
              </w:rPr>
            </w:pPr>
          </w:p>
          <w:p w:rsidR="00F03B1A" w:rsidRDefault="00F03B1A" w:rsidP="00772478">
            <w:pPr>
              <w:pStyle w:val="BodyText"/>
              <w:tabs>
                <w:tab w:val="left" w:pos="3780"/>
              </w:tabs>
            </w:pPr>
            <w:r w:rsidRPr="00C55526">
              <w:rPr>
                <w:rFonts w:ascii="Arial" w:hAnsi="Arial" w:cs="Arial"/>
                <w:b/>
                <w:sz w:val="20"/>
              </w:rPr>
              <w:t>Európska referenčná cena lieku</w:t>
            </w:r>
            <w:r>
              <w:tab/>
            </w:r>
            <w:r w:rsidR="00390DBF" w:rsidRPr="00390DBF">
              <w:rPr>
                <w:rFonts w:ascii="Arial" w:hAnsi="Arial" w:cs="Arial"/>
                <w:b/>
                <w:bCs/>
                <w:sz w:val="20"/>
              </w:rPr>
              <w:t>2 909,62</w:t>
            </w:r>
            <w:r>
              <w:rPr>
                <w:rFonts w:ascii="Arial" w:hAnsi="Arial" w:cs="Arial"/>
                <w:b/>
                <w:bCs/>
                <w:sz w:val="20"/>
              </w:rPr>
              <w:t> </w:t>
            </w:r>
            <w:r w:rsidRPr="00153D04">
              <w:rPr>
                <w:rFonts w:ascii="Arial" w:hAnsi="Arial" w:cs="Arial"/>
                <w:b/>
                <w:sz w:val="20"/>
              </w:rPr>
              <w:t>EUR</w:t>
            </w:r>
            <w:r>
              <w:t xml:space="preserve"> </w:t>
            </w:r>
          </w:p>
          <w:p w:rsidR="00F03B1A" w:rsidRDefault="00F03B1A" w:rsidP="00AB7006">
            <w:pPr>
              <w:pStyle w:val="BodyText"/>
              <w:tabs>
                <w:tab w:val="left" w:pos="3780"/>
              </w:tabs>
              <w:rPr>
                <w:rFonts w:ascii="Arial" w:hAnsi="Arial" w:cs="Arial"/>
                <w:b/>
                <w:iCs/>
                <w:sz w:val="20"/>
              </w:rPr>
            </w:pPr>
          </w:p>
        </w:tc>
      </w:tr>
      <w:tr w:rsidR="00390DBF" w:rsidTr="00772478">
        <w:trPr>
          <w:trHeight w:val="243"/>
        </w:trPr>
        <w:tc>
          <w:tcPr>
            <w:tcW w:w="9226" w:type="dxa"/>
            <w:gridSpan w:val="2"/>
            <w:tcBorders>
              <w:top w:val="single" w:sz="4" w:space="0" w:color="auto"/>
              <w:bottom w:val="single" w:sz="12" w:space="0" w:color="auto"/>
            </w:tcBorders>
            <w:vAlign w:val="center"/>
          </w:tcPr>
          <w:p w:rsidR="00390DBF" w:rsidRDefault="00390DBF" w:rsidP="00772478">
            <w:pPr>
              <w:pStyle w:val="BodyText"/>
              <w:tabs>
                <w:tab w:val="left" w:pos="3780"/>
              </w:tabs>
              <w:rPr>
                <w:rFonts w:ascii="Arial" w:hAnsi="Arial" w:cs="Arial"/>
                <w:b/>
                <w:i/>
                <w:sz w:val="20"/>
              </w:rPr>
            </w:pPr>
          </w:p>
        </w:tc>
      </w:tr>
    </w:tbl>
    <w:p w:rsidR="00F03B1A" w:rsidRDefault="00F03B1A" w:rsidP="00DB121E"/>
    <w:p w:rsidR="00985581" w:rsidRDefault="00985581"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008"/>
        <w:gridCol w:w="8218"/>
      </w:tblGrid>
      <w:tr w:rsidR="00985581" w:rsidTr="002E19AF">
        <w:trPr>
          <w:trHeight w:val="642"/>
        </w:trPr>
        <w:tc>
          <w:tcPr>
            <w:tcW w:w="1008" w:type="dxa"/>
            <w:tcBorders>
              <w:top w:val="single" w:sz="18" w:space="0" w:color="auto"/>
              <w:bottom w:val="single" w:sz="4" w:space="0" w:color="auto"/>
            </w:tcBorders>
            <w:shd w:val="clear" w:color="auto" w:fill="000000"/>
            <w:vAlign w:val="center"/>
          </w:tcPr>
          <w:p w:rsidR="00985581" w:rsidRDefault="00985581" w:rsidP="00985581">
            <w:pPr>
              <w:pStyle w:val="BodyText"/>
              <w:rPr>
                <w:rFonts w:ascii="Arial" w:hAnsi="Arial" w:cs="Arial"/>
                <w:b/>
                <w:sz w:val="20"/>
              </w:rPr>
            </w:pPr>
            <w:r>
              <w:rPr>
                <w:rFonts w:ascii="Arial" w:hAnsi="Arial" w:cs="Arial"/>
                <w:b/>
                <w:sz w:val="20"/>
              </w:rPr>
              <w:t xml:space="preserve">Časť F </w:t>
            </w:r>
          </w:p>
        </w:tc>
        <w:tc>
          <w:tcPr>
            <w:tcW w:w="8218" w:type="dxa"/>
            <w:tcBorders>
              <w:top w:val="single" w:sz="18" w:space="0" w:color="auto"/>
              <w:bottom w:val="single" w:sz="4" w:space="0" w:color="auto"/>
            </w:tcBorders>
            <w:vAlign w:val="center"/>
          </w:tcPr>
          <w:p w:rsidR="002E19AF" w:rsidRDefault="00985581" w:rsidP="002E19AF">
            <w:pPr>
              <w:pStyle w:val="BodyText"/>
              <w:jc w:val="left"/>
              <w:rPr>
                <w:rFonts w:ascii="Arial" w:hAnsi="Arial" w:cs="Arial"/>
                <w:b/>
                <w:sz w:val="20"/>
              </w:rPr>
            </w:pPr>
            <w:r>
              <w:rPr>
                <w:rFonts w:ascii="Arial" w:hAnsi="Arial" w:cs="Arial"/>
                <w:b/>
                <w:sz w:val="20"/>
              </w:rPr>
              <w:t>Zoznam členských štátov</w:t>
            </w:r>
            <w:r w:rsidR="002E19AF">
              <w:rPr>
                <w:rFonts w:ascii="Arial" w:hAnsi="Arial" w:cs="Arial"/>
                <w:b/>
                <w:sz w:val="20"/>
              </w:rPr>
              <w:t xml:space="preserve"> </w:t>
            </w:r>
            <w:r>
              <w:rPr>
                <w:rFonts w:ascii="Arial" w:hAnsi="Arial" w:cs="Arial"/>
                <w:b/>
                <w:sz w:val="20"/>
              </w:rPr>
              <w:t>EÚ, v ktorých má liek úradne určenú cenu spolu s uvedením overiteľných zdrojov údajov o cene lieku podľa § 94 ods. 8 zákona</w:t>
            </w:r>
          </w:p>
        </w:tc>
      </w:tr>
      <w:tr w:rsidR="006657B7" w:rsidTr="00DC17B1">
        <w:trPr>
          <w:trHeight w:val="243"/>
        </w:trPr>
        <w:tc>
          <w:tcPr>
            <w:tcW w:w="9226" w:type="dxa"/>
            <w:gridSpan w:val="2"/>
            <w:tcBorders>
              <w:top w:val="single" w:sz="4" w:space="0" w:color="auto"/>
              <w:bottom w:val="single" w:sz="12" w:space="0" w:color="auto"/>
            </w:tcBorders>
            <w:vAlign w:val="center"/>
          </w:tcPr>
          <w:p w:rsidR="006657B7" w:rsidRDefault="006657B7" w:rsidP="006657B7">
            <w:pPr>
              <w:pStyle w:val="BodyText"/>
              <w:tabs>
                <w:tab w:val="left" w:pos="3780"/>
              </w:tabs>
              <w:rPr>
                <w:rFonts w:ascii="Arial" w:hAnsi="Arial" w:cs="Arial"/>
                <w:sz w:val="20"/>
              </w:rPr>
            </w:pPr>
            <w:r w:rsidRPr="006657B7">
              <w:rPr>
                <w:rFonts w:ascii="Arial" w:hAnsi="Arial" w:cs="Arial"/>
                <w:sz w:val="20"/>
              </w:rPr>
              <w:t>Vypĺňa sa, ak ide o liek podľa § 16 ods. 7 zákona, t.j. ak predmetom žiadosti je originálny liek a v žiadnom členskom štáte</w:t>
            </w:r>
            <w:r>
              <w:rPr>
                <w:rFonts w:ascii="Arial" w:hAnsi="Arial" w:cs="Arial"/>
                <w:sz w:val="20"/>
              </w:rPr>
              <w:t xml:space="preserve"> EÚ</w:t>
            </w:r>
            <w:r w:rsidRPr="006657B7">
              <w:rPr>
                <w:rFonts w:ascii="Arial" w:hAnsi="Arial" w:cs="Arial"/>
                <w:sz w:val="20"/>
              </w:rPr>
              <w:t xml:space="preserve"> nie sú registrované lieky iných držiteľov registrácie, ktoré by sa vyznačovali rovnakou kombináciou liečiva, liekovej formy a množstva liečiva v jednej dávke lieku</w:t>
            </w:r>
            <w:r>
              <w:rPr>
                <w:rFonts w:ascii="Arial" w:hAnsi="Arial" w:cs="Arial"/>
                <w:sz w:val="20"/>
              </w:rPr>
              <w:t>.</w:t>
            </w:r>
          </w:p>
          <w:p w:rsidR="006657B7" w:rsidRDefault="006657B7" w:rsidP="006657B7">
            <w:pPr>
              <w:pStyle w:val="BodyText"/>
              <w:tabs>
                <w:tab w:val="left" w:pos="3780"/>
              </w:tabs>
              <w:rPr>
                <w:rFonts w:ascii="Arial" w:hAnsi="Arial" w:cs="Arial"/>
                <w:iCs/>
                <w:sz w:val="20"/>
              </w:rPr>
            </w:pPr>
          </w:p>
          <w:p w:rsidR="006657B7" w:rsidRDefault="006657B7" w:rsidP="006657B7">
            <w:pPr>
              <w:pStyle w:val="BodyText"/>
              <w:tabs>
                <w:tab w:val="left" w:pos="3780"/>
              </w:tabs>
              <w:rPr>
                <w:rFonts w:ascii="Arial" w:hAnsi="Arial" w:cs="Arial"/>
                <w:iCs/>
                <w:sz w:val="20"/>
              </w:rPr>
            </w:pPr>
            <w:r w:rsidRPr="006657B7">
              <w:rPr>
                <w:rFonts w:ascii="Arial" w:hAnsi="Arial" w:cs="Arial"/>
                <w:iCs/>
                <w:sz w:val="20"/>
              </w:rPr>
              <w:t xml:space="preserve">Na účely preukazovania úradne určenej ceny originálneho lieku podľa </w:t>
            </w:r>
            <w:r>
              <w:rPr>
                <w:rFonts w:ascii="Arial" w:hAnsi="Arial" w:cs="Arial"/>
                <w:iCs/>
                <w:sz w:val="20"/>
              </w:rPr>
              <w:t xml:space="preserve">§ 16 ods. 7 zákona </w:t>
            </w:r>
            <w:r w:rsidRPr="006657B7">
              <w:rPr>
                <w:rFonts w:ascii="Arial" w:hAnsi="Arial" w:cs="Arial"/>
                <w:iCs/>
                <w:sz w:val="20"/>
              </w:rPr>
              <w:t>sa na počet kusov liekovej formy v balení lieku neprihliada.</w:t>
            </w:r>
          </w:p>
          <w:p w:rsidR="00724832" w:rsidRDefault="00724832" w:rsidP="006657B7">
            <w:pPr>
              <w:pStyle w:val="BodyText"/>
              <w:tabs>
                <w:tab w:val="left" w:pos="3780"/>
              </w:tabs>
              <w:rPr>
                <w:rFonts w:ascii="Arial" w:hAnsi="Arial" w:cs="Arial"/>
                <w:iCs/>
                <w:sz w:val="20"/>
              </w:rPr>
            </w:pPr>
          </w:p>
          <w:p w:rsidR="00724832" w:rsidRPr="00724832" w:rsidRDefault="00724832" w:rsidP="003D3881">
            <w:pPr>
              <w:pStyle w:val="BodyText"/>
              <w:tabs>
                <w:tab w:val="left" w:pos="3780"/>
              </w:tabs>
              <w:jc w:val="left"/>
              <w:rPr>
                <w:rFonts w:ascii="Arial" w:hAnsi="Arial" w:cs="Arial"/>
                <w:b/>
                <w:iCs/>
                <w:sz w:val="20"/>
              </w:rPr>
            </w:pPr>
            <w:r w:rsidRPr="00724832">
              <w:rPr>
                <w:rFonts w:ascii="Arial" w:hAnsi="Arial" w:cs="Arial"/>
                <w:b/>
                <w:iCs/>
                <w:sz w:val="20"/>
              </w:rPr>
              <w:t>1. </w:t>
            </w:r>
            <w:r w:rsidR="00C849DE">
              <w:rPr>
                <w:rFonts w:ascii="Arial" w:hAnsi="Arial" w:cs="Arial"/>
                <w:b/>
                <w:iCs/>
                <w:sz w:val="20"/>
              </w:rPr>
              <w:t>č</w:t>
            </w:r>
            <w:r w:rsidRPr="00724832">
              <w:rPr>
                <w:rFonts w:ascii="Arial" w:hAnsi="Arial" w:cs="Arial"/>
                <w:b/>
                <w:iCs/>
                <w:sz w:val="20"/>
              </w:rPr>
              <w:t xml:space="preserve">lenský štát: </w:t>
            </w:r>
            <w:r w:rsidR="00924C21" w:rsidRPr="00B91873">
              <w:rPr>
                <w:rFonts w:ascii="Arial" w:hAnsi="Arial" w:cs="Arial"/>
                <w:bCs/>
                <w:sz w:val="20"/>
              </w:rPr>
              <w:t>Belgicko</w:t>
            </w:r>
            <w:r w:rsidRPr="00724832">
              <w:rPr>
                <w:rFonts w:ascii="Arial" w:hAnsi="Arial" w:cs="Arial"/>
                <w:b/>
                <w:bCs/>
                <w:sz w:val="20"/>
              </w:rPr>
              <w:t xml:space="preserve">  </w:t>
            </w:r>
            <w:r w:rsidRPr="00724832">
              <w:rPr>
                <w:rFonts w:ascii="Arial" w:hAnsi="Arial" w:cs="Arial"/>
                <w:b/>
                <w:iCs/>
                <w:sz w:val="20"/>
              </w:rPr>
              <w:t xml:space="preserve">Overiteľný zdroj údajov: </w:t>
            </w:r>
            <w:r w:rsidR="00B91873" w:rsidRPr="00B91873">
              <w:rPr>
                <w:rFonts w:ascii="Arial" w:hAnsi="Arial" w:cs="Arial"/>
                <w:bCs/>
                <w:sz w:val="20"/>
              </w:rPr>
              <w:t>http://www.inami.fgov.be/fr/programmes-web/Pages/specialites-pharmaceutiques.aspx</w:t>
            </w:r>
            <w:r w:rsidR="00B91873">
              <w:rPr>
                <w:rFonts w:ascii="Arial" w:hAnsi="Arial" w:cs="Arial"/>
                <w:bCs/>
                <w:sz w:val="20"/>
              </w:rPr>
              <w:t xml:space="preserve"> </w:t>
            </w:r>
          </w:p>
          <w:p w:rsidR="00724832" w:rsidRPr="00B91873" w:rsidRDefault="00724832" w:rsidP="003D3881">
            <w:pPr>
              <w:pStyle w:val="BodyText"/>
              <w:tabs>
                <w:tab w:val="left" w:pos="3780"/>
              </w:tabs>
              <w:rPr>
                <w:rFonts w:ascii="Arial" w:hAnsi="Arial" w:cs="Arial"/>
                <w:bCs/>
                <w:sz w:val="20"/>
              </w:rPr>
            </w:pPr>
            <w:r>
              <w:rPr>
                <w:rFonts w:ascii="Arial" w:hAnsi="Arial" w:cs="Arial"/>
                <w:b/>
                <w:iCs/>
                <w:sz w:val="20"/>
              </w:rPr>
              <w:t>2</w:t>
            </w:r>
            <w:r w:rsidRPr="00724832">
              <w:rPr>
                <w:rFonts w:ascii="Arial" w:hAnsi="Arial" w:cs="Arial"/>
                <w:b/>
                <w:iCs/>
                <w:sz w:val="20"/>
              </w:rPr>
              <w:t>. </w:t>
            </w:r>
            <w:r w:rsidR="00C849DE">
              <w:rPr>
                <w:rFonts w:ascii="Arial" w:hAnsi="Arial" w:cs="Arial"/>
                <w:b/>
                <w:iCs/>
                <w:sz w:val="20"/>
              </w:rPr>
              <w:t>č</w:t>
            </w:r>
            <w:r w:rsidRPr="00724832">
              <w:rPr>
                <w:rFonts w:ascii="Arial" w:hAnsi="Arial" w:cs="Arial"/>
                <w:b/>
                <w:iCs/>
                <w:sz w:val="20"/>
              </w:rPr>
              <w:t xml:space="preserve">lenský štát: </w:t>
            </w:r>
            <w:r w:rsidR="00924C21" w:rsidRPr="00B91873">
              <w:rPr>
                <w:rFonts w:ascii="Arial" w:hAnsi="Arial" w:cs="Arial"/>
                <w:bCs/>
                <w:sz w:val="20"/>
              </w:rPr>
              <w:t>Dánsko</w:t>
            </w:r>
            <w:r w:rsidRPr="00B91873">
              <w:rPr>
                <w:rFonts w:ascii="Arial" w:hAnsi="Arial" w:cs="Arial"/>
                <w:bCs/>
                <w:sz w:val="20"/>
              </w:rPr>
              <w:t xml:space="preserve">    </w:t>
            </w:r>
            <w:r w:rsidRPr="00724832">
              <w:rPr>
                <w:rFonts w:ascii="Arial" w:hAnsi="Arial" w:cs="Arial"/>
                <w:b/>
                <w:iCs/>
                <w:sz w:val="20"/>
              </w:rPr>
              <w:t xml:space="preserve">Overiteľný zdroj údajov: </w:t>
            </w:r>
            <w:r w:rsidR="00924C21" w:rsidRPr="00B91873">
              <w:rPr>
                <w:rFonts w:ascii="Arial" w:hAnsi="Arial" w:cs="Arial"/>
                <w:bCs/>
                <w:sz w:val="20"/>
              </w:rPr>
              <w:t>http://www.medicinpriser.dk/</w:t>
            </w:r>
          </w:p>
          <w:p w:rsidR="00724832" w:rsidRDefault="00724832" w:rsidP="003D3881">
            <w:pPr>
              <w:pStyle w:val="BodyText"/>
              <w:tabs>
                <w:tab w:val="left" w:pos="3780"/>
              </w:tabs>
              <w:rPr>
                <w:rFonts w:ascii="Arial" w:hAnsi="Arial" w:cs="Arial"/>
                <w:b/>
                <w:bCs/>
                <w:sz w:val="20"/>
              </w:rPr>
            </w:pPr>
            <w:r>
              <w:rPr>
                <w:rFonts w:ascii="Arial" w:hAnsi="Arial" w:cs="Arial"/>
                <w:b/>
                <w:iCs/>
                <w:sz w:val="20"/>
              </w:rPr>
              <w:t>3</w:t>
            </w:r>
            <w:r w:rsidRPr="00724832">
              <w:rPr>
                <w:rFonts w:ascii="Arial" w:hAnsi="Arial" w:cs="Arial"/>
                <w:b/>
                <w:iCs/>
                <w:sz w:val="20"/>
              </w:rPr>
              <w:t>. </w:t>
            </w:r>
            <w:r w:rsidR="00C849DE">
              <w:rPr>
                <w:rFonts w:ascii="Arial" w:hAnsi="Arial" w:cs="Arial"/>
                <w:b/>
                <w:iCs/>
                <w:sz w:val="20"/>
              </w:rPr>
              <w:t>č</w:t>
            </w:r>
            <w:r w:rsidRPr="00724832">
              <w:rPr>
                <w:rFonts w:ascii="Arial" w:hAnsi="Arial" w:cs="Arial"/>
                <w:b/>
                <w:iCs/>
                <w:sz w:val="20"/>
              </w:rPr>
              <w:t xml:space="preserve">lenský štát: </w:t>
            </w:r>
            <w:r w:rsidR="008247DE" w:rsidRPr="00B91873">
              <w:rPr>
                <w:rFonts w:ascii="Arial" w:hAnsi="Arial" w:cs="Arial"/>
                <w:bCs/>
                <w:sz w:val="20"/>
              </w:rPr>
              <w:t>Švédsko</w:t>
            </w:r>
            <w:r w:rsidRPr="00724832">
              <w:rPr>
                <w:rFonts w:ascii="Arial" w:hAnsi="Arial" w:cs="Arial"/>
                <w:b/>
                <w:bCs/>
                <w:sz w:val="20"/>
              </w:rPr>
              <w:t xml:space="preserve"> </w:t>
            </w:r>
            <w:r w:rsidR="003D3881">
              <w:rPr>
                <w:rFonts w:ascii="Arial" w:hAnsi="Arial" w:cs="Arial"/>
                <w:b/>
                <w:bCs/>
                <w:sz w:val="20"/>
              </w:rPr>
              <w:t xml:space="preserve"> </w:t>
            </w:r>
            <w:r w:rsidRPr="00724832">
              <w:rPr>
                <w:rFonts w:ascii="Arial" w:hAnsi="Arial" w:cs="Arial"/>
                <w:b/>
                <w:bCs/>
                <w:sz w:val="20"/>
              </w:rPr>
              <w:t xml:space="preserve"> </w:t>
            </w:r>
            <w:r w:rsidRPr="00724832">
              <w:rPr>
                <w:rFonts w:ascii="Arial" w:hAnsi="Arial" w:cs="Arial"/>
                <w:b/>
                <w:iCs/>
                <w:sz w:val="20"/>
              </w:rPr>
              <w:t xml:space="preserve">Overiteľný zdroj údajov: </w:t>
            </w:r>
            <w:r w:rsidR="008247DE" w:rsidRPr="00B91873">
              <w:rPr>
                <w:rFonts w:ascii="Arial" w:hAnsi="Arial" w:cs="Arial"/>
                <w:bCs/>
                <w:sz w:val="20"/>
              </w:rPr>
              <w:t>https://www.tlv.se/beslut/sok-i-databasen.html</w:t>
            </w:r>
          </w:p>
          <w:p w:rsidR="00724832" w:rsidRDefault="00724832" w:rsidP="003D3881">
            <w:pPr>
              <w:pStyle w:val="BodyText"/>
              <w:tabs>
                <w:tab w:val="left" w:pos="3780"/>
              </w:tabs>
              <w:jc w:val="left"/>
              <w:rPr>
                <w:rFonts w:ascii="Arial" w:hAnsi="Arial" w:cs="Arial"/>
                <w:b/>
                <w:bCs/>
                <w:sz w:val="20"/>
              </w:rPr>
            </w:pPr>
            <w:r>
              <w:rPr>
                <w:rFonts w:ascii="Arial" w:hAnsi="Arial" w:cs="Arial"/>
                <w:b/>
                <w:iCs/>
                <w:sz w:val="20"/>
              </w:rPr>
              <w:t>4</w:t>
            </w:r>
            <w:r w:rsidRPr="00724832">
              <w:rPr>
                <w:rFonts w:ascii="Arial" w:hAnsi="Arial" w:cs="Arial"/>
                <w:b/>
                <w:iCs/>
                <w:sz w:val="20"/>
              </w:rPr>
              <w:t>. </w:t>
            </w:r>
            <w:r w:rsidR="00C849DE">
              <w:rPr>
                <w:rFonts w:ascii="Arial" w:hAnsi="Arial" w:cs="Arial"/>
                <w:b/>
                <w:iCs/>
                <w:sz w:val="20"/>
              </w:rPr>
              <w:t>č</w:t>
            </w:r>
            <w:r w:rsidRPr="00724832">
              <w:rPr>
                <w:rFonts w:ascii="Arial" w:hAnsi="Arial" w:cs="Arial"/>
                <w:b/>
                <w:iCs/>
                <w:sz w:val="20"/>
              </w:rPr>
              <w:t xml:space="preserve">lenský štát: </w:t>
            </w:r>
            <w:r w:rsidR="008247DE" w:rsidRPr="00B91873">
              <w:rPr>
                <w:rFonts w:ascii="Arial" w:hAnsi="Arial" w:cs="Arial"/>
                <w:bCs/>
                <w:sz w:val="20"/>
              </w:rPr>
              <w:t>Spojené kráľovstvo</w:t>
            </w:r>
            <w:r w:rsidRPr="00B91873">
              <w:rPr>
                <w:rFonts w:ascii="Arial" w:hAnsi="Arial" w:cs="Arial"/>
                <w:bCs/>
                <w:sz w:val="20"/>
              </w:rPr>
              <w:t xml:space="preserve"> </w:t>
            </w:r>
            <w:r w:rsidRPr="00724832">
              <w:rPr>
                <w:rFonts w:ascii="Arial" w:hAnsi="Arial" w:cs="Arial"/>
                <w:b/>
                <w:iCs/>
                <w:sz w:val="20"/>
              </w:rPr>
              <w:t xml:space="preserve">Overiteľný zdroj údajov: </w:t>
            </w:r>
            <w:r w:rsidR="00E556D9" w:rsidRPr="00B91873">
              <w:rPr>
                <w:rFonts w:ascii="Arial" w:hAnsi="Arial" w:cs="Arial"/>
                <w:bCs/>
                <w:sz w:val="20"/>
              </w:rPr>
              <w:t>http://dmd.medicines.org.uk/DesktopDefault.aspx</w:t>
            </w:r>
          </w:p>
          <w:p w:rsidR="00724832" w:rsidRPr="006657B7" w:rsidRDefault="00724832" w:rsidP="003D3881">
            <w:pPr>
              <w:pStyle w:val="BodyText"/>
              <w:tabs>
                <w:tab w:val="left" w:pos="3780"/>
              </w:tabs>
              <w:rPr>
                <w:rFonts w:ascii="Arial" w:hAnsi="Arial" w:cs="Arial"/>
                <w:iCs/>
                <w:sz w:val="20"/>
              </w:rPr>
            </w:pPr>
            <w:r>
              <w:rPr>
                <w:rFonts w:ascii="Arial" w:hAnsi="Arial" w:cs="Arial"/>
                <w:b/>
                <w:iCs/>
                <w:sz w:val="20"/>
              </w:rPr>
              <w:t>5</w:t>
            </w:r>
            <w:r w:rsidRPr="00724832">
              <w:rPr>
                <w:rFonts w:ascii="Arial" w:hAnsi="Arial" w:cs="Arial"/>
                <w:b/>
                <w:iCs/>
                <w:sz w:val="20"/>
              </w:rPr>
              <w:t>. </w:t>
            </w:r>
            <w:r w:rsidR="00C849DE">
              <w:rPr>
                <w:rFonts w:ascii="Arial" w:hAnsi="Arial" w:cs="Arial"/>
                <w:b/>
                <w:iCs/>
                <w:sz w:val="20"/>
              </w:rPr>
              <w:t>č</w:t>
            </w:r>
            <w:r w:rsidRPr="00724832">
              <w:rPr>
                <w:rFonts w:ascii="Arial" w:hAnsi="Arial" w:cs="Arial"/>
                <w:b/>
                <w:iCs/>
                <w:sz w:val="20"/>
              </w:rPr>
              <w:t>lenský štát:</w:t>
            </w:r>
            <w:r w:rsidRPr="00B91873">
              <w:rPr>
                <w:rFonts w:ascii="Arial" w:hAnsi="Arial" w:cs="Arial"/>
                <w:iCs/>
                <w:sz w:val="20"/>
              </w:rPr>
              <w:t xml:space="preserve"> </w:t>
            </w:r>
            <w:r w:rsidR="00E556D9" w:rsidRPr="00B91873">
              <w:rPr>
                <w:rFonts w:ascii="Arial" w:hAnsi="Arial" w:cs="Arial"/>
                <w:bCs/>
                <w:sz w:val="20"/>
              </w:rPr>
              <w:t>Fínsko</w:t>
            </w:r>
            <w:r w:rsidRPr="00724832">
              <w:rPr>
                <w:rFonts w:ascii="Arial" w:hAnsi="Arial" w:cs="Arial"/>
                <w:b/>
                <w:bCs/>
                <w:sz w:val="20"/>
              </w:rPr>
              <w:t xml:space="preserve">     </w:t>
            </w:r>
            <w:r w:rsidRPr="00724832">
              <w:rPr>
                <w:rFonts w:ascii="Arial" w:hAnsi="Arial" w:cs="Arial"/>
                <w:b/>
                <w:iCs/>
                <w:sz w:val="20"/>
              </w:rPr>
              <w:t>Overiteľný zdroj údajov</w:t>
            </w:r>
            <w:r w:rsidRPr="00B91873">
              <w:rPr>
                <w:rFonts w:ascii="Arial" w:hAnsi="Arial" w:cs="Arial"/>
                <w:iCs/>
                <w:sz w:val="20"/>
              </w:rPr>
              <w:t xml:space="preserve">: </w:t>
            </w:r>
            <w:r w:rsidR="00E556D9" w:rsidRPr="00B91873">
              <w:rPr>
                <w:rFonts w:ascii="Arial" w:hAnsi="Arial" w:cs="Arial"/>
                <w:bCs/>
                <w:sz w:val="20"/>
              </w:rPr>
              <w:t>http://www.hila.fi/en/notices</w:t>
            </w:r>
          </w:p>
        </w:tc>
      </w:tr>
    </w:tbl>
    <w:p w:rsidR="00C02E7B" w:rsidRDefault="00C02E7B" w:rsidP="00DB121E"/>
    <w:p w:rsidR="00535E8B" w:rsidRDefault="00535E8B" w:rsidP="00DB121E"/>
    <w:tbl>
      <w:tblPr>
        <w:tblStyle w:val="TableGrid"/>
        <w:tblW w:w="0" w:type="auto"/>
        <w:tblLook w:val="00A0" w:firstRow="1" w:lastRow="0" w:firstColumn="1" w:lastColumn="0" w:noHBand="0" w:noVBand="0"/>
      </w:tblPr>
      <w:tblGrid>
        <w:gridCol w:w="1008"/>
        <w:gridCol w:w="8218"/>
      </w:tblGrid>
      <w:tr w:rsidR="00C02E7B" w:rsidTr="00F54EDC">
        <w:trPr>
          <w:trHeight w:val="440"/>
        </w:trPr>
        <w:tc>
          <w:tcPr>
            <w:tcW w:w="1008" w:type="dxa"/>
          </w:tcPr>
          <w:p w:rsidR="00C02E7B" w:rsidRDefault="00C02E7B" w:rsidP="00BA52DD">
            <w:pPr>
              <w:pStyle w:val="BodyText"/>
              <w:rPr>
                <w:rFonts w:ascii="Arial" w:hAnsi="Arial" w:cs="Arial"/>
                <w:b/>
                <w:sz w:val="20"/>
              </w:rPr>
            </w:pPr>
            <w:r>
              <w:rPr>
                <w:rFonts w:ascii="Arial" w:hAnsi="Arial" w:cs="Arial"/>
                <w:b/>
                <w:sz w:val="20"/>
              </w:rPr>
              <w:t xml:space="preserve">Časť </w:t>
            </w:r>
            <w:r w:rsidR="00BA52DD">
              <w:rPr>
                <w:rFonts w:ascii="Arial" w:hAnsi="Arial" w:cs="Arial"/>
                <w:b/>
                <w:sz w:val="20"/>
              </w:rPr>
              <w:t>G</w:t>
            </w:r>
            <w:r>
              <w:rPr>
                <w:rFonts w:ascii="Arial" w:hAnsi="Arial" w:cs="Arial"/>
                <w:b/>
                <w:sz w:val="20"/>
              </w:rPr>
              <w:t xml:space="preserve"> </w:t>
            </w:r>
          </w:p>
        </w:tc>
        <w:tc>
          <w:tcPr>
            <w:tcW w:w="8218" w:type="dxa"/>
          </w:tcPr>
          <w:p w:rsidR="00C02E7B" w:rsidRPr="00E76A8E" w:rsidRDefault="00AF084A" w:rsidP="00F41B75">
            <w:pPr>
              <w:pStyle w:val="BodyText"/>
              <w:rPr>
                <w:rFonts w:ascii="Arial" w:hAnsi="Arial" w:cs="Arial"/>
                <w:sz w:val="20"/>
              </w:rPr>
            </w:pPr>
            <w:r>
              <w:rPr>
                <w:rFonts w:ascii="Arial" w:hAnsi="Arial" w:cs="Arial"/>
                <w:b/>
                <w:sz w:val="20"/>
              </w:rPr>
              <w:t>Suma úhrad zdravotných poisťovní</w:t>
            </w:r>
          </w:p>
        </w:tc>
      </w:tr>
      <w:tr w:rsidR="00C02E7B" w:rsidTr="00F54EDC">
        <w:trPr>
          <w:trHeight w:val="1263"/>
        </w:trPr>
        <w:tc>
          <w:tcPr>
            <w:tcW w:w="9226" w:type="dxa"/>
            <w:gridSpan w:val="2"/>
          </w:tcPr>
          <w:p w:rsidR="00C02E7B" w:rsidRDefault="00C02E7B" w:rsidP="00F41B75">
            <w:pPr>
              <w:pStyle w:val="BodyText"/>
              <w:rPr>
                <w:rFonts w:ascii="Arial" w:hAnsi="Arial" w:cs="Arial"/>
                <w:i/>
                <w:sz w:val="20"/>
              </w:rPr>
            </w:pPr>
          </w:p>
          <w:p w:rsidR="00AF084A" w:rsidRDefault="008456B2" w:rsidP="00F41B75">
            <w:pPr>
              <w:pStyle w:val="BodyText"/>
              <w:rPr>
                <w:rFonts w:ascii="Arial" w:hAnsi="Arial" w:cs="Arial"/>
                <w:b/>
                <w:i/>
                <w:sz w:val="20"/>
              </w:rPr>
            </w:pPr>
            <w:r w:rsidRPr="008456B2">
              <w:rPr>
                <w:rFonts w:ascii="Arial" w:hAnsi="Arial" w:cs="Arial"/>
                <w:b/>
                <w:i/>
                <w:sz w:val="20"/>
              </w:rPr>
              <w:t>V zmysle § 10 ods. 3 písm</w:t>
            </w:r>
            <w:r w:rsidR="00862EAD">
              <w:rPr>
                <w:rFonts w:ascii="Arial" w:hAnsi="Arial" w:cs="Arial"/>
                <w:b/>
                <w:i/>
                <w:sz w:val="20"/>
              </w:rPr>
              <w:t>.</w:t>
            </w:r>
            <w:r w:rsidR="006820D5">
              <w:rPr>
                <w:rFonts w:ascii="Arial" w:hAnsi="Arial" w:cs="Arial"/>
                <w:b/>
                <w:i/>
                <w:sz w:val="20"/>
              </w:rPr>
              <w:t xml:space="preserve"> i</w:t>
            </w:r>
            <w:r w:rsidRPr="008456B2">
              <w:rPr>
                <w:rFonts w:ascii="Arial" w:hAnsi="Arial" w:cs="Arial"/>
                <w:b/>
                <w:i/>
                <w:sz w:val="20"/>
              </w:rPr>
              <w:t>) zákona č. 363/2011 Z. z. o rozsahu a podmienkach úhrady liekov, zdravotníckych pomôcok a dietetických potravín na základe verejného zdravotného poistenia a o zmene a doplnení niektorých zákonov v znení neskorších predpisov návrh maximálnej sumy úhrad zdravotných poisťovní za liek na 24 po sebe nasledujúcich mesiacov od nadobudnutia vykonateľnosti rozhodnutia o zaradení lieku do zoznamu kategorizovaných liekov:</w:t>
            </w:r>
          </w:p>
          <w:p w:rsidR="008456B2" w:rsidRPr="00514F2B" w:rsidRDefault="008456B2" w:rsidP="00F41B75">
            <w:pPr>
              <w:pStyle w:val="BodyText"/>
              <w:rPr>
                <w:rFonts w:ascii="Arial" w:hAnsi="Arial" w:cs="Arial"/>
                <w:b/>
                <w:i/>
                <w:sz w:val="20"/>
              </w:rPr>
            </w:pPr>
          </w:p>
          <w:p w:rsidR="009A2E2D" w:rsidRPr="00AD1B8F" w:rsidRDefault="00F737D0" w:rsidP="009A2E2D">
            <w:pPr>
              <w:pStyle w:val="BodyText"/>
              <w:rPr>
                <w:rFonts w:ascii="Arial" w:hAnsi="Arial" w:cs="Arial"/>
                <w:b/>
                <w:sz w:val="20"/>
                <w:u w:val="single"/>
              </w:rPr>
            </w:pPr>
            <w:r w:rsidRPr="00F737D0">
              <w:rPr>
                <w:rFonts w:ascii="Arial" w:hAnsi="Arial" w:cs="Arial"/>
                <w:b/>
                <w:sz w:val="20"/>
                <w:u w:val="single"/>
              </w:rPr>
              <w:t xml:space="preserve">1 160 420 </w:t>
            </w:r>
            <w:r w:rsidR="009A2E2D" w:rsidRPr="00AD1B8F">
              <w:rPr>
                <w:rFonts w:ascii="Arial" w:hAnsi="Arial" w:cs="Arial"/>
                <w:b/>
                <w:sz w:val="20"/>
                <w:u w:val="single"/>
              </w:rPr>
              <w:t>€</w:t>
            </w:r>
          </w:p>
          <w:p w:rsidR="009A2E2D" w:rsidRPr="009A2E2D" w:rsidRDefault="009A2E2D" w:rsidP="009A2E2D">
            <w:pPr>
              <w:pStyle w:val="BodyText"/>
              <w:rPr>
                <w:rFonts w:ascii="Arial" w:hAnsi="Arial" w:cs="Arial"/>
                <w:sz w:val="20"/>
              </w:rPr>
            </w:pPr>
          </w:p>
          <w:p w:rsidR="009A2E2D" w:rsidRPr="009A2E2D" w:rsidRDefault="009A2E2D" w:rsidP="009A2E2D">
            <w:pPr>
              <w:pStyle w:val="BodyText"/>
              <w:rPr>
                <w:rFonts w:ascii="Arial" w:hAnsi="Arial" w:cs="Arial"/>
                <w:sz w:val="20"/>
              </w:rPr>
            </w:pPr>
            <w:r w:rsidRPr="009A2E2D">
              <w:rPr>
                <w:rFonts w:ascii="Arial" w:hAnsi="Arial" w:cs="Arial"/>
                <w:sz w:val="20"/>
              </w:rPr>
              <w:t>-</w:t>
            </w:r>
            <w:r w:rsidRPr="009A2E2D">
              <w:rPr>
                <w:rFonts w:ascii="Arial" w:hAnsi="Arial" w:cs="Arial"/>
                <w:sz w:val="20"/>
              </w:rPr>
              <w:tab/>
            </w:r>
            <w:r w:rsidRPr="00430000">
              <w:rPr>
                <w:rFonts w:ascii="Arial" w:hAnsi="Arial" w:cs="Arial"/>
                <w:b/>
                <w:sz w:val="20"/>
                <w:u w:val="single"/>
              </w:rPr>
              <w:t xml:space="preserve">z toho prvých 12 mesiacov: </w:t>
            </w:r>
            <w:r w:rsidR="00491ACF" w:rsidRPr="00491ACF">
              <w:rPr>
                <w:rFonts w:ascii="Arial" w:hAnsi="Arial" w:cs="Arial"/>
                <w:b/>
                <w:sz w:val="20"/>
                <w:u w:val="single"/>
              </w:rPr>
              <w:t xml:space="preserve">370 926 </w:t>
            </w:r>
            <w:r w:rsidRPr="00430000">
              <w:rPr>
                <w:rFonts w:ascii="Arial" w:hAnsi="Arial" w:cs="Arial"/>
                <w:b/>
                <w:sz w:val="20"/>
                <w:u w:val="single"/>
              </w:rPr>
              <w:t>€.</w:t>
            </w:r>
            <w:r w:rsidRPr="00430000">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r w:rsidRPr="009A2E2D">
              <w:rPr>
                <w:rFonts w:ascii="Arial" w:hAnsi="Arial" w:cs="Arial"/>
                <w:sz w:val="20"/>
              </w:rPr>
              <w:tab/>
            </w:r>
          </w:p>
          <w:p w:rsidR="00C02E7B" w:rsidRPr="009A2E2D" w:rsidRDefault="009A2E2D" w:rsidP="00B7479C">
            <w:pPr>
              <w:pStyle w:val="BodyText"/>
              <w:rPr>
                <w:rFonts w:ascii="Arial" w:hAnsi="Arial" w:cs="Arial"/>
                <w:sz w:val="20"/>
              </w:rPr>
            </w:pPr>
            <w:r w:rsidRPr="00507073">
              <w:rPr>
                <w:rFonts w:ascii="Arial" w:hAnsi="Arial" w:cs="Arial"/>
                <w:b/>
                <w:i/>
                <w:sz w:val="20"/>
                <w:u w:val="single"/>
              </w:rPr>
              <w:t>Poznámka</w:t>
            </w:r>
            <w:r w:rsidRPr="00507073">
              <w:rPr>
                <w:rFonts w:ascii="Arial" w:hAnsi="Arial" w:cs="Arial"/>
                <w:i/>
                <w:sz w:val="20"/>
              </w:rPr>
              <w:t>: počas prvých 12 mesiacov od predpokladaného zaradenia lieku Jakavi predpokladáme, že</w:t>
            </w:r>
            <w:r w:rsidR="00397AF3" w:rsidRPr="00507073">
              <w:rPr>
                <w:rFonts w:ascii="Arial" w:hAnsi="Arial" w:cs="Arial"/>
                <w:i/>
                <w:sz w:val="20"/>
              </w:rPr>
              <w:t xml:space="preserve"> </w:t>
            </w:r>
            <w:r w:rsidRPr="00507073">
              <w:rPr>
                <w:rFonts w:ascii="Arial" w:hAnsi="Arial" w:cs="Arial"/>
                <w:i/>
                <w:sz w:val="20"/>
              </w:rPr>
              <w:t xml:space="preserve">v terapeutickej indikácii </w:t>
            </w:r>
            <w:r w:rsidR="00397AF3" w:rsidRPr="00507073">
              <w:rPr>
                <w:rFonts w:ascii="Arial" w:hAnsi="Arial" w:cs="Arial"/>
                <w:i/>
                <w:sz w:val="20"/>
              </w:rPr>
              <w:t>p</w:t>
            </w:r>
            <w:r w:rsidRPr="00507073">
              <w:rPr>
                <w:rFonts w:ascii="Arial" w:hAnsi="Arial" w:cs="Arial"/>
                <w:i/>
                <w:sz w:val="20"/>
              </w:rPr>
              <w:t xml:space="preserve">olycytémia vera (PV) </w:t>
            </w:r>
            <w:r w:rsidR="00B7479C">
              <w:rPr>
                <w:rFonts w:ascii="Arial" w:hAnsi="Arial" w:cs="Arial"/>
                <w:i/>
                <w:sz w:val="20"/>
              </w:rPr>
              <w:t>bude prvý rok liečených 11 pacientov</w:t>
            </w:r>
            <w:r w:rsidRPr="00507073">
              <w:rPr>
                <w:rFonts w:ascii="Arial" w:hAnsi="Arial" w:cs="Arial"/>
                <w:i/>
                <w:sz w:val="20"/>
              </w:rPr>
              <w:t xml:space="preserve"> </w:t>
            </w:r>
            <w:r w:rsidR="00B7479C">
              <w:rPr>
                <w:rFonts w:ascii="Arial" w:hAnsi="Arial" w:cs="Arial"/>
                <w:i/>
                <w:sz w:val="20"/>
              </w:rPr>
              <w:br/>
            </w:r>
            <w:r w:rsidRPr="00507073">
              <w:rPr>
                <w:rFonts w:ascii="Arial" w:hAnsi="Arial" w:cs="Arial"/>
                <w:i/>
                <w:sz w:val="20"/>
              </w:rPr>
              <w:t xml:space="preserve">a nasledujúcich 12 mesiacov začne liečbu </w:t>
            </w:r>
            <w:r w:rsidR="00430000" w:rsidRPr="00507073">
              <w:rPr>
                <w:rFonts w:ascii="Arial" w:hAnsi="Arial" w:cs="Arial"/>
                <w:i/>
                <w:sz w:val="20"/>
              </w:rPr>
              <w:t>13</w:t>
            </w:r>
            <w:r w:rsidRPr="00507073">
              <w:rPr>
                <w:rFonts w:ascii="Arial" w:hAnsi="Arial" w:cs="Arial"/>
                <w:i/>
                <w:sz w:val="20"/>
              </w:rPr>
              <w:t xml:space="preserve"> pacientov</w:t>
            </w:r>
            <w:r>
              <w:rPr>
                <w:rFonts w:ascii="Arial" w:hAnsi="Arial" w:cs="Arial"/>
                <w:sz w:val="20"/>
              </w:rPr>
              <w:t>.</w:t>
            </w:r>
          </w:p>
          <w:p w:rsidR="00C02E7B" w:rsidRDefault="00C02E7B" w:rsidP="00F41B75">
            <w:pPr>
              <w:pStyle w:val="BodyText"/>
              <w:rPr>
                <w:rFonts w:ascii="Arial" w:hAnsi="Arial" w:cs="Arial"/>
                <w:b/>
                <w:bCs/>
                <w:i/>
                <w:sz w:val="20"/>
              </w:rPr>
            </w:pPr>
          </w:p>
          <w:p w:rsidR="00B476CF" w:rsidRDefault="00B476CF" w:rsidP="00F41B75">
            <w:pPr>
              <w:pStyle w:val="BodyText"/>
              <w:rPr>
                <w:rFonts w:ascii="Arial" w:hAnsi="Arial" w:cs="Arial"/>
                <w:b/>
                <w:bCs/>
                <w:i/>
                <w:sz w:val="20"/>
              </w:rPr>
            </w:pPr>
          </w:p>
          <w:p w:rsidR="00997D68" w:rsidRDefault="00997D68" w:rsidP="00997D68">
            <w:pPr>
              <w:pStyle w:val="BodyText"/>
              <w:rPr>
                <w:rFonts w:ascii="Arial" w:hAnsi="Arial" w:cs="Arial"/>
                <w:b/>
                <w:i/>
                <w:sz w:val="20"/>
                <w:u w:val="single"/>
              </w:rPr>
            </w:pPr>
            <w:r w:rsidRPr="00BC48CF">
              <w:rPr>
                <w:rFonts w:ascii="Arial" w:hAnsi="Arial" w:cs="Arial"/>
                <w:b/>
                <w:i/>
                <w:sz w:val="20"/>
                <w:u w:val="single"/>
              </w:rPr>
              <w:t>Odôvodnenie:</w:t>
            </w:r>
          </w:p>
          <w:p w:rsidR="00997D68" w:rsidRPr="00BC48CF" w:rsidRDefault="00997D68" w:rsidP="00997D68">
            <w:pPr>
              <w:pStyle w:val="BodyText"/>
              <w:rPr>
                <w:rFonts w:ascii="Arial" w:hAnsi="Arial" w:cs="Arial"/>
                <w:b/>
                <w:i/>
                <w:sz w:val="20"/>
                <w:u w:val="single"/>
              </w:rPr>
            </w:pPr>
          </w:p>
          <w:p w:rsidR="00997D68" w:rsidRDefault="00997D68" w:rsidP="00997D68">
            <w:pPr>
              <w:spacing w:line="276" w:lineRule="auto"/>
              <w:jc w:val="both"/>
              <w:rPr>
                <w:rFonts w:ascii="Arial" w:eastAsia="Calibri" w:hAnsi="Arial" w:cs="Arial"/>
                <w:i/>
                <w:sz w:val="20"/>
                <w:szCs w:val="20"/>
                <w:lang w:eastAsia="en-US"/>
              </w:rPr>
            </w:pPr>
            <w:r w:rsidRPr="0097307D">
              <w:rPr>
                <w:rFonts w:ascii="Arial" w:eastAsia="Calibri" w:hAnsi="Arial" w:cs="Arial"/>
                <w:i/>
                <w:sz w:val="20"/>
                <w:szCs w:val="20"/>
                <w:lang w:eastAsia="en-US"/>
              </w:rPr>
              <w:t xml:space="preserve">Počet liečených pacientov </w:t>
            </w:r>
            <w:r w:rsidR="005A0E30">
              <w:rPr>
                <w:rFonts w:ascii="Arial" w:eastAsia="Calibri" w:hAnsi="Arial" w:cs="Arial"/>
                <w:i/>
                <w:sz w:val="20"/>
                <w:szCs w:val="20"/>
                <w:lang w:eastAsia="en-US"/>
              </w:rPr>
              <w:t xml:space="preserve">počas daného obdobia </w:t>
            </w:r>
            <w:r>
              <w:rPr>
                <w:rFonts w:ascii="Arial" w:eastAsia="Calibri" w:hAnsi="Arial" w:cs="Arial"/>
                <w:i/>
                <w:sz w:val="20"/>
                <w:szCs w:val="20"/>
                <w:lang w:eastAsia="en-US"/>
              </w:rPr>
              <w:t>v </w:t>
            </w:r>
            <w:r w:rsidRPr="0097307D">
              <w:rPr>
                <w:rFonts w:ascii="Arial" w:eastAsia="Calibri" w:hAnsi="Arial" w:cs="Arial"/>
                <w:i/>
                <w:sz w:val="20"/>
                <w:szCs w:val="20"/>
                <w:lang w:eastAsia="en-US"/>
              </w:rPr>
              <w:t>indikáci</w:t>
            </w:r>
            <w:r>
              <w:rPr>
                <w:rFonts w:ascii="Arial" w:eastAsia="Calibri" w:hAnsi="Arial" w:cs="Arial"/>
                <w:i/>
                <w:sz w:val="20"/>
                <w:szCs w:val="20"/>
                <w:lang w:eastAsia="en-US"/>
              </w:rPr>
              <w:t>i PV</w:t>
            </w:r>
            <w:r w:rsidRPr="0097307D">
              <w:rPr>
                <w:rFonts w:ascii="Arial" w:eastAsia="Calibri" w:hAnsi="Arial" w:cs="Arial"/>
                <w:i/>
                <w:sz w:val="20"/>
                <w:szCs w:val="20"/>
                <w:lang w:eastAsia="en-US"/>
              </w:rPr>
              <w:t xml:space="preserve"> je </w:t>
            </w:r>
            <w:r>
              <w:rPr>
                <w:rFonts w:ascii="Arial" w:eastAsia="Calibri" w:hAnsi="Arial" w:cs="Arial"/>
                <w:i/>
                <w:sz w:val="20"/>
                <w:szCs w:val="20"/>
                <w:lang w:eastAsia="en-US"/>
              </w:rPr>
              <w:t>odvodený od počtu vhodných pacientov opísaného nižšie v Prílohe č.1, dĺžke liečby</w:t>
            </w:r>
            <w:r w:rsidRPr="00D811CB">
              <w:rPr>
                <w:rFonts w:ascii="Arial" w:eastAsia="Calibri" w:hAnsi="Arial" w:cs="Arial"/>
                <w:i/>
                <w:sz w:val="20"/>
                <w:szCs w:val="20"/>
                <w:lang w:eastAsia="en-US"/>
              </w:rPr>
              <w:t xml:space="preserve"> a tiež </w:t>
            </w:r>
            <w:r>
              <w:rPr>
                <w:rFonts w:ascii="Arial" w:eastAsia="Calibri" w:hAnsi="Arial" w:cs="Arial"/>
                <w:i/>
                <w:sz w:val="20"/>
                <w:szCs w:val="20"/>
                <w:lang w:eastAsia="en-US"/>
              </w:rPr>
              <w:t xml:space="preserve">od </w:t>
            </w:r>
            <w:r w:rsidRPr="00D811CB">
              <w:rPr>
                <w:rFonts w:ascii="Arial" w:eastAsia="Calibri" w:hAnsi="Arial" w:cs="Arial"/>
                <w:i/>
                <w:sz w:val="20"/>
                <w:szCs w:val="20"/>
                <w:lang w:eastAsia="en-US"/>
              </w:rPr>
              <w:t>počt</w:t>
            </w:r>
            <w:r>
              <w:rPr>
                <w:rFonts w:ascii="Arial" w:eastAsia="Calibri" w:hAnsi="Arial" w:cs="Arial"/>
                <w:i/>
                <w:sz w:val="20"/>
                <w:szCs w:val="20"/>
                <w:lang w:eastAsia="en-US"/>
              </w:rPr>
              <w:t>u</w:t>
            </w:r>
            <w:r w:rsidRPr="00D811CB">
              <w:rPr>
                <w:rFonts w:ascii="Arial" w:eastAsia="Calibri" w:hAnsi="Arial" w:cs="Arial"/>
                <w:i/>
                <w:sz w:val="20"/>
                <w:szCs w:val="20"/>
                <w:lang w:eastAsia="en-US"/>
              </w:rPr>
              <w:t xml:space="preserve"> súčasne liečených pacientov</w:t>
            </w:r>
            <w:r w:rsidRPr="0097307D">
              <w:rPr>
                <w:rFonts w:ascii="Arial" w:eastAsia="Calibri" w:hAnsi="Arial" w:cs="Arial"/>
                <w:i/>
                <w:sz w:val="20"/>
                <w:szCs w:val="20"/>
                <w:lang w:eastAsia="en-US"/>
              </w:rPr>
              <w:t>.</w:t>
            </w:r>
            <w:r>
              <w:rPr>
                <w:rFonts w:ascii="Arial" w:eastAsia="Calibri" w:hAnsi="Arial" w:cs="Arial"/>
                <w:i/>
                <w:sz w:val="20"/>
                <w:szCs w:val="20"/>
                <w:lang w:eastAsia="en-US"/>
              </w:rPr>
              <w:t xml:space="preserve"> </w:t>
            </w:r>
          </w:p>
          <w:p w:rsidR="00997D68" w:rsidRPr="00EE05E4" w:rsidRDefault="00997D68" w:rsidP="00997D68">
            <w:pPr>
              <w:spacing w:line="276" w:lineRule="auto"/>
              <w:jc w:val="both"/>
              <w:rPr>
                <w:rFonts w:ascii="Arial" w:eastAsia="Calibri" w:hAnsi="Arial" w:cs="Arial"/>
                <w:sz w:val="20"/>
                <w:szCs w:val="20"/>
                <w:lang w:eastAsia="en-US"/>
              </w:rPr>
            </w:pPr>
          </w:p>
          <w:p w:rsidR="00997D68" w:rsidRPr="00093006" w:rsidRDefault="00997D68" w:rsidP="00997D68">
            <w:pPr>
              <w:spacing w:line="276" w:lineRule="auto"/>
              <w:jc w:val="both"/>
              <w:rPr>
                <w:rFonts w:ascii="Arial" w:hAnsi="Arial" w:cs="Arial"/>
                <w:i/>
                <w:sz w:val="20"/>
                <w:szCs w:val="20"/>
              </w:rPr>
            </w:pPr>
            <w:r w:rsidRPr="00093006">
              <w:rPr>
                <w:rFonts w:ascii="Arial" w:hAnsi="Arial" w:cs="Arial"/>
                <w:i/>
                <w:sz w:val="20"/>
                <w:szCs w:val="20"/>
              </w:rPr>
              <w:t xml:space="preserve">Tabuľka </w:t>
            </w:r>
            <w:r w:rsidRPr="00093006">
              <w:rPr>
                <w:rFonts w:ascii="Arial" w:hAnsi="Arial" w:cs="Arial"/>
                <w:i/>
                <w:sz w:val="20"/>
                <w:szCs w:val="20"/>
              </w:rPr>
              <w:fldChar w:fldCharType="begin"/>
            </w:r>
            <w:r w:rsidRPr="00093006">
              <w:rPr>
                <w:rFonts w:ascii="Arial" w:hAnsi="Arial" w:cs="Arial"/>
                <w:i/>
                <w:sz w:val="20"/>
                <w:szCs w:val="20"/>
              </w:rPr>
              <w:instrText xml:space="preserve"> SEQ Tabuľka \* ARABIC </w:instrText>
            </w:r>
            <w:r w:rsidRPr="00093006">
              <w:rPr>
                <w:rFonts w:ascii="Arial" w:hAnsi="Arial" w:cs="Arial"/>
                <w:i/>
                <w:sz w:val="20"/>
                <w:szCs w:val="20"/>
              </w:rPr>
              <w:fldChar w:fldCharType="separate"/>
            </w:r>
            <w:r w:rsidR="00B476CF">
              <w:rPr>
                <w:rFonts w:ascii="Arial" w:hAnsi="Arial" w:cs="Arial"/>
                <w:i/>
                <w:noProof/>
                <w:sz w:val="20"/>
                <w:szCs w:val="20"/>
              </w:rPr>
              <w:t>1</w:t>
            </w:r>
            <w:r w:rsidRPr="00093006">
              <w:rPr>
                <w:rFonts w:ascii="Arial" w:hAnsi="Arial" w:cs="Arial"/>
                <w:i/>
                <w:sz w:val="20"/>
                <w:szCs w:val="20"/>
              </w:rPr>
              <w:fldChar w:fldCharType="end"/>
            </w:r>
            <w:r w:rsidRPr="00093006">
              <w:rPr>
                <w:rFonts w:ascii="Arial" w:hAnsi="Arial" w:cs="Arial"/>
                <w:i/>
                <w:sz w:val="20"/>
                <w:szCs w:val="20"/>
              </w:rPr>
              <w:t xml:space="preserve"> Počet pacientov v </w:t>
            </w:r>
            <w:r w:rsidR="00ED21DC" w:rsidRPr="00093006">
              <w:rPr>
                <w:rFonts w:ascii="Arial" w:hAnsi="Arial" w:cs="Arial"/>
                <w:i/>
                <w:sz w:val="20"/>
                <w:szCs w:val="20"/>
              </w:rPr>
              <w:t>dvoj</w:t>
            </w:r>
            <w:r w:rsidRPr="00093006">
              <w:rPr>
                <w:rFonts w:ascii="Arial" w:hAnsi="Arial" w:cs="Arial"/>
                <w:i/>
                <w:sz w:val="20"/>
                <w:szCs w:val="20"/>
              </w:rPr>
              <w:t>ročnom časovom horizonte od zaradenia do Zoznamu kategorizovaných liekov</w:t>
            </w:r>
          </w:p>
          <w:tbl>
            <w:tblPr>
              <w:tblStyle w:val="TableGrid"/>
              <w:tblW w:w="8221" w:type="dxa"/>
              <w:tblLook w:val="04A0" w:firstRow="1" w:lastRow="0" w:firstColumn="1" w:lastColumn="0" w:noHBand="0" w:noVBand="1"/>
            </w:tblPr>
            <w:tblGrid>
              <w:gridCol w:w="2862"/>
              <w:gridCol w:w="1906"/>
              <w:gridCol w:w="1724"/>
              <w:gridCol w:w="1729"/>
            </w:tblGrid>
            <w:tr w:rsidR="00ED21DC" w:rsidRPr="00093006" w:rsidTr="00BF0B48">
              <w:trPr>
                <w:trHeight w:val="355"/>
              </w:trPr>
              <w:tc>
                <w:tcPr>
                  <w:tcW w:w="8221" w:type="dxa"/>
                  <w:gridSpan w:val="4"/>
                  <w:noWrap/>
                  <w:vAlign w:val="center"/>
                </w:tcPr>
                <w:p w:rsidR="00ED21DC" w:rsidRPr="00093006" w:rsidRDefault="00ED21DC"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Počet liečených pacientov</w:t>
                  </w:r>
                </w:p>
              </w:tc>
            </w:tr>
            <w:tr w:rsidR="00B7479C" w:rsidRPr="00093006" w:rsidTr="00B7479C">
              <w:trPr>
                <w:trHeight w:val="1066"/>
              </w:trPr>
              <w:tc>
                <w:tcPr>
                  <w:tcW w:w="2862" w:type="dxa"/>
                  <w:noWrap/>
                  <w:vAlign w:val="center"/>
                  <w:hideMark/>
                </w:tcPr>
                <w:p w:rsidR="00B7479C" w:rsidRPr="00093006" w:rsidRDefault="00B7479C" w:rsidP="00B7479C">
                  <w:pPr>
                    <w:rPr>
                      <w:rFonts w:asciiTheme="minorBidi" w:hAnsiTheme="minorBidi" w:cstheme="minorBidi"/>
                      <w:i/>
                      <w:color w:val="000000"/>
                      <w:sz w:val="18"/>
                      <w:szCs w:val="18"/>
                    </w:rPr>
                  </w:pPr>
                  <w:r w:rsidRPr="00093006">
                    <w:rPr>
                      <w:rFonts w:asciiTheme="minorBidi" w:hAnsiTheme="minorBidi" w:cstheme="minorBidi"/>
                      <w:i/>
                      <w:color w:val="000000"/>
                      <w:sz w:val="18"/>
                      <w:szCs w:val="18"/>
                    </w:rPr>
                    <w:t>Indikácia</w:t>
                  </w:r>
                </w:p>
              </w:tc>
              <w:tc>
                <w:tcPr>
                  <w:tcW w:w="1906" w:type="dxa"/>
                  <w:vAlign w:val="center"/>
                  <w:hideMark/>
                </w:tcPr>
                <w:p w:rsidR="00B7479C" w:rsidRPr="00093006" w:rsidRDefault="00B7479C" w:rsidP="00B7479C">
                  <w:pPr>
                    <w:jc w:val="center"/>
                    <w:rPr>
                      <w:rFonts w:asciiTheme="minorBidi" w:hAnsiTheme="minorBidi" w:cstheme="minorBidi"/>
                      <w:i/>
                      <w:color w:val="000000"/>
                      <w:sz w:val="18"/>
                      <w:szCs w:val="18"/>
                    </w:rPr>
                  </w:pPr>
                  <w:r>
                    <w:rPr>
                      <w:rFonts w:asciiTheme="minorBidi" w:hAnsiTheme="minorBidi" w:cstheme="minorBidi"/>
                      <w:i/>
                      <w:color w:val="000000"/>
                      <w:sz w:val="18"/>
                      <w:szCs w:val="18"/>
                    </w:rPr>
                    <w:t xml:space="preserve">liečení počas prvých </w:t>
                  </w:r>
                  <w:r w:rsidRPr="00B7479C">
                    <w:rPr>
                      <w:rFonts w:asciiTheme="minorBidi" w:hAnsiTheme="minorBidi" w:cstheme="minorBidi"/>
                      <w:i/>
                      <w:color w:val="000000"/>
                      <w:sz w:val="18"/>
                      <w:szCs w:val="18"/>
                    </w:rPr>
                    <w:t>12 mesiacov od kategorizácie</w:t>
                  </w:r>
                </w:p>
              </w:tc>
              <w:tc>
                <w:tcPr>
                  <w:tcW w:w="1724" w:type="dxa"/>
                  <w:vAlign w:val="center"/>
                  <w:hideMark/>
                </w:tcPr>
                <w:p w:rsidR="00B7479C" w:rsidRPr="00093006" w:rsidRDefault="00B7479C" w:rsidP="00B7479C">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začínajúci liečbu 13 až 24 mesiacov od kategorizácie</w:t>
                  </w:r>
                </w:p>
              </w:tc>
              <w:tc>
                <w:tcPr>
                  <w:tcW w:w="1729" w:type="dxa"/>
                  <w:vAlign w:val="center"/>
                  <w:hideMark/>
                </w:tcPr>
                <w:p w:rsidR="00B7479C" w:rsidRPr="00093006" w:rsidRDefault="00B7479C" w:rsidP="00B7479C">
                  <w:pPr>
                    <w:jc w:val="center"/>
                    <w:rPr>
                      <w:rFonts w:asciiTheme="minorBidi" w:hAnsiTheme="minorBidi" w:cstheme="minorBidi"/>
                      <w:i/>
                      <w:color w:val="000000"/>
                      <w:sz w:val="18"/>
                      <w:szCs w:val="18"/>
                    </w:rPr>
                  </w:pPr>
                  <w:r>
                    <w:rPr>
                      <w:rFonts w:asciiTheme="minorBidi" w:hAnsiTheme="minorBidi" w:cstheme="minorBidi"/>
                      <w:i/>
                      <w:color w:val="000000"/>
                      <w:sz w:val="18"/>
                      <w:szCs w:val="18"/>
                    </w:rPr>
                    <w:t>spolu liečení počas prvých 24</w:t>
                  </w:r>
                  <w:r w:rsidRPr="00B7479C">
                    <w:rPr>
                      <w:rFonts w:asciiTheme="minorBidi" w:hAnsiTheme="minorBidi" w:cstheme="minorBidi"/>
                      <w:i/>
                      <w:color w:val="000000"/>
                      <w:sz w:val="18"/>
                      <w:szCs w:val="18"/>
                    </w:rPr>
                    <w:t xml:space="preserve"> mesiacov od kategorizácie</w:t>
                  </w:r>
                </w:p>
              </w:tc>
            </w:tr>
            <w:tr w:rsidR="00B7479C" w:rsidRPr="00093006" w:rsidTr="00B7479C">
              <w:trPr>
                <w:trHeight w:val="266"/>
              </w:trPr>
              <w:tc>
                <w:tcPr>
                  <w:tcW w:w="2862" w:type="dxa"/>
                  <w:noWrap/>
                  <w:hideMark/>
                </w:tcPr>
                <w:p w:rsidR="00B7479C" w:rsidRPr="00093006" w:rsidRDefault="00B7479C" w:rsidP="00B7479C">
                  <w:pPr>
                    <w:rPr>
                      <w:rFonts w:asciiTheme="minorBidi" w:hAnsiTheme="minorBidi" w:cstheme="minorBidi"/>
                      <w:i/>
                      <w:color w:val="000000"/>
                      <w:sz w:val="18"/>
                      <w:szCs w:val="18"/>
                    </w:rPr>
                  </w:pPr>
                  <w:r w:rsidRPr="00093006">
                    <w:rPr>
                      <w:rFonts w:asciiTheme="minorBidi" w:hAnsiTheme="minorBidi" w:cstheme="minorBidi"/>
                      <w:i/>
                      <w:color w:val="000000"/>
                      <w:sz w:val="18"/>
                      <w:szCs w:val="18"/>
                    </w:rPr>
                    <w:t>PV</w:t>
                  </w:r>
                </w:p>
              </w:tc>
              <w:tc>
                <w:tcPr>
                  <w:tcW w:w="1906" w:type="dxa"/>
                  <w:noWrap/>
                  <w:hideMark/>
                </w:tcPr>
                <w:p w:rsidR="00B7479C" w:rsidRPr="00093006" w:rsidRDefault="00B7479C" w:rsidP="00B7479C">
                  <w:pPr>
                    <w:jc w:val="center"/>
                    <w:rPr>
                      <w:rFonts w:asciiTheme="minorBidi" w:hAnsiTheme="minorBidi" w:cstheme="minorBidi"/>
                      <w:i/>
                      <w:color w:val="000000"/>
                      <w:sz w:val="18"/>
                      <w:szCs w:val="18"/>
                    </w:rPr>
                  </w:pPr>
                  <w:r>
                    <w:rPr>
                      <w:rFonts w:asciiTheme="minorBidi" w:hAnsiTheme="minorBidi" w:cstheme="minorBidi"/>
                      <w:i/>
                      <w:color w:val="000000"/>
                      <w:sz w:val="18"/>
                      <w:szCs w:val="18"/>
                    </w:rPr>
                    <w:t>11</w:t>
                  </w:r>
                </w:p>
              </w:tc>
              <w:tc>
                <w:tcPr>
                  <w:tcW w:w="1724" w:type="dxa"/>
                  <w:noWrap/>
                  <w:hideMark/>
                </w:tcPr>
                <w:p w:rsidR="00B7479C" w:rsidRPr="00093006" w:rsidRDefault="00B7479C" w:rsidP="00B7479C">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13</w:t>
                  </w:r>
                </w:p>
              </w:tc>
              <w:tc>
                <w:tcPr>
                  <w:tcW w:w="1729" w:type="dxa"/>
                  <w:noWrap/>
                  <w:hideMark/>
                </w:tcPr>
                <w:p w:rsidR="00B7479C" w:rsidRPr="00093006" w:rsidRDefault="00B7479C" w:rsidP="00B7479C">
                  <w:pPr>
                    <w:jc w:val="center"/>
                    <w:rPr>
                      <w:rFonts w:asciiTheme="minorBidi" w:hAnsiTheme="minorBidi" w:cstheme="minorBidi"/>
                      <w:i/>
                      <w:color w:val="000000"/>
                      <w:sz w:val="18"/>
                      <w:szCs w:val="18"/>
                    </w:rPr>
                  </w:pPr>
                  <w:r>
                    <w:rPr>
                      <w:rFonts w:asciiTheme="minorBidi" w:hAnsiTheme="minorBidi" w:cstheme="minorBidi"/>
                      <w:i/>
                      <w:color w:val="000000"/>
                      <w:sz w:val="18"/>
                      <w:szCs w:val="18"/>
                    </w:rPr>
                    <w:t>24</w:t>
                  </w:r>
                </w:p>
              </w:tc>
            </w:tr>
          </w:tbl>
          <w:p w:rsidR="00997D68" w:rsidRPr="00093006" w:rsidRDefault="00997D68" w:rsidP="00B7479C">
            <w:pPr>
              <w:pStyle w:val="BodyText"/>
              <w:rPr>
                <w:rFonts w:ascii="Arial" w:hAnsi="Arial" w:cs="Arial"/>
                <w:i/>
                <w:sz w:val="20"/>
              </w:rPr>
            </w:pPr>
            <w:r w:rsidRPr="00093006">
              <w:rPr>
                <w:rFonts w:ascii="Arial" w:hAnsi="Arial" w:cs="Arial"/>
                <w:i/>
                <w:sz w:val="20"/>
              </w:rPr>
              <w:t>Dĺžka trvania cyklu: 2</w:t>
            </w:r>
            <w:r w:rsidR="00CF6B0B" w:rsidRPr="00093006">
              <w:rPr>
                <w:rFonts w:ascii="Arial" w:hAnsi="Arial" w:cs="Arial"/>
                <w:i/>
                <w:sz w:val="20"/>
              </w:rPr>
              <w:t>8</w:t>
            </w:r>
            <w:r w:rsidRPr="00093006">
              <w:rPr>
                <w:rFonts w:ascii="Arial" w:hAnsi="Arial" w:cs="Arial"/>
                <w:i/>
                <w:sz w:val="20"/>
              </w:rPr>
              <w:t xml:space="preserve"> dní, </w:t>
            </w:r>
            <w:r w:rsidR="00CF6B0B" w:rsidRPr="00093006">
              <w:rPr>
                <w:rFonts w:ascii="Arial" w:hAnsi="Arial" w:cs="Arial"/>
                <w:i/>
                <w:sz w:val="20"/>
              </w:rPr>
              <w:t xml:space="preserve">na </w:t>
            </w:r>
            <w:r w:rsidRPr="00093006">
              <w:rPr>
                <w:rFonts w:ascii="Arial" w:hAnsi="Arial" w:cs="Arial"/>
                <w:i/>
                <w:sz w:val="20"/>
              </w:rPr>
              <w:t xml:space="preserve">1 cyklus liečby </w:t>
            </w:r>
            <w:r w:rsidR="00CF6B0B" w:rsidRPr="00093006">
              <w:rPr>
                <w:rFonts w:ascii="Arial" w:hAnsi="Arial" w:cs="Arial"/>
                <w:i/>
                <w:sz w:val="20"/>
              </w:rPr>
              <w:t>PV sa užíva 1 balenie lieku Jakavi</w:t>
            </w:r>
            <w:r w:rsidR="00093006" w:rsidRPr="00093006">
              <w:rPr>
                <w:rFonts w:ascii="Arial" w:hAnsi="Arial" w:cs="Arial"/>
                <w:i/>
                <w:sz w:val="20"/>
              </w:rPr>
              <w:t xml:space="preserve"> 56x10mg</w:t>
            </w:r>
            <w:r w:rsidR="00B7479C">
              <w:rPr>
                <w:rFonts w:ascii="Arial" w:hAnsi="Arial" w:cs="Arial"/>
                <w:i/>
                <w:sz w:val="20"/>
              </w:rPr>
              <w:t>.</w:t>
            </w:r>
            <w:r w:rsidR="00CF6B0B" w:rsidRPr="00093006">
              <w:rPr>
                <w:rFonts w:ascii="Arial" w:hAnsi="Arial" w:cs="Arial"/>
                <w:i/>
                <w:sz w:val="20"/>
              </w:rPr>
              <w:t xml:space="preserve"> </w:t>
            </w:r>
          </w:p>
          <w:p w:rsidR="00997D68" w:rsidRPr="00093006" w:rsidRDefault="00997D68" w:rsidP="00997D68">
            <w:pPr>
              <w:spacing w:line="276" w:lineRule="auto"/>
              <w:jc w:val="both"/>
              <w:rPr>
                <w:rFonts w:ascii="Arial" w:eastAsia="Calibri" w:hAnsi="Arial" w:cs="Arial"/>
                <w:i/>
                <w:sz w:val="20"/>
                <w:szCs w:val="20"/>
                <w:lang w:eastAsia="en-US"/>
              </w:rPr>
            </w:pPr>
          </w:p>
          <w:p w:rsidR="00997D68" w:rsidRPr="00093006" w:rsidRDefault="00997D68" w:rsidP="00997D68">
            <w:pPr>
              <w:pStyle w:val="Caption"/>
              <w:keepNext/>
              <w:rPr>
                <w:rFonts w:ascii="Arial" w:hAnsi="Arial" w:cs="Arial"/>
                <w:color w:val="auto"/>
                <w:sz w:val="20"/>
                <w:szCs w:val="20"/>
              </w:rPr>
            </w:pPr>
            <w:r w:rsidRPr="00093006">
              <w:rPr>
                <w:rFonts w:ascii="Arial" w:hAnsi="Arial" w:cs="Arial"/>
                <w:color w:val="auto"/>
                <w:sz w:val="20"/>
                <w:szCs w:val="20"/>
              </w:rPr>
              <w:t xml:space="preserve">Tabuľka </w:t>
            </w:r>
            <w:r w:rsidRPr="00093006">
              <w:rPr>
                <w:rFonts w:ascii="Arial" w:hAnsi="Arial" w:cs="Arial"/>
                <w:color w:val="auto"/>
                <w:sz w:val="20"/>
                <w:szCs w:val="20"/>
              </w:rPr>
              <w:fldChar w:fldCharType="begin"/>
            </w:r>
            <w:r w:rsidRPr="00093006">
              <w:rPr>
                <w:rFonts w:ascii="Arial" w:hAnsi="Arial" w:cs="Arial"/>
                <w:color w:val="auto"/>
                <w:sz w:val="20"/>
                <w:szCs w:val="20"/>
              </w:rPr>
              <w:instrText xml:space="preserve"> SEQ Tabuľka \* ARABIC </w:instrText>
            </w:r>
            <w:r w:rsidRPr="00093006">
              <w:rPr>
                <w:rFonts w:ascii="Arial" w:hAnsi="Arial" w:cs="Arial"/>
                <w:color w:val="auto"/>
                <w:sz w:val="20"/>
                <w:szCs w:val="20"/>
              </w:rPr>
              <w:fldChar w:fldCharType="separate"/>
            </w:r>
            <w:r w:rsidR="00B476CF">
              <w:rPr>
                <w:rFonts w:ascii="Arial" w:hAnsi="Arial" w:cs="Arial"/>
                <w:noProof/>
                <w:color w:val="auto"/>
                <w:sz w:val="20"/>
                <w:szCs w:val="20"/>
              </w:rPr>
              <w:t>2</w:t>
            </w:r>
            <w:r w:rsidRPr="00093006">
              <w:rPr>
                <w:rFonts w:ascii="Arial" w:hAnsi="Arial" w:cs="Arial"/>
                <w:color w:val="auto"/>
                <w:sz w:val="20"/>
                <w:szCs w:val="20"/>
              </w:rPr>
              <w:fldChar w:fldCharType="end"/>
            </w:r>
            <w:r w:rsidRPr="00093006">
              <w:rPr>
                <w:rFonts w:ascii="Arial" w:hAnsi="Arial" w:cs="Arial"/>
                <w:color w:val="auto"/>
                <w:sz w:val="20"/>
                <w:szCs w:val="20"/>
              </w:rPr>
              <w:t xml:space="preserve"> Počet balení lieku</w:t>
            </w:r>
            <w:r w:rsidR="00CF6B0B" w:rsidRPr="00093006">
              <w:rPr>
                <w:rFonts w:ascii="Arial" w:hAnsi="Arial" w:cs="Arial"/>
                <w:color w:val="auto"/>
                <w:sz w:val="20"/>
                <w:szCs w:val="20"/>
              </w:rPr>
              <w:t xml:space="preserve"> Jakavi 56x10 mg</w:t>
            </w:r>
            <w:r w:rsidRPr="00093006">
              <w:rPr>
                <w:rFonts w:ascii="Arial" w:hAnsi="Arial" w:cs="Arial"/>
                <w:color w:val="auto"/>
                <w:sz w:val="20"/>
                <w:szCs w:val="20"/>
              </w:rPr>
              <w:t xml:space="preserve"> a náklady v </w:t>
            </w:r>
            <w:r w:rsidR="00CF6B0B" w:rsidRPr="00093006">
              <w:rPr>
                <w:rFonts w:ascii="Arial" w:hAnsi="Arial" w:cs="Arial"/>
                <w:color w:val="auto"/>
                <w:sz w:val="20"/>
                <w:szCs w:val="20"/>
              </w:rPr>
              <w:t>dvo</w:t>
            </w:r>
            <w:r w:rsidRPr="00093006">
              <w:rPr>
                <w:rFonts w:ascii="Arial" w:hAnsi="Arial" w:cs="Arial"/>
                <w:color w:val="auto"/>
                <w:sz w:val="20"/>
                <w:szCs w:val="20"/>
              </w:rPr>
              <w:t>jročnom časovom horizonte od</w:t>
            </w:r>
            <w:r w:rsidR="00BB2B35">
              <w:rPr>
                <w:rFonts w:ascii="Arial" w:hAnsi="Arial" w:cs="Arial"/>
                <w:color w:val="auto"/>
                <w:sz w:val="20"/>
                <w:szCs w:val="20"/>
              </w:rPr>
              <w:t xml:space="preserve"> predpokladaného</w:t>
            </w:r>
            <w:r w:rsidRPr="00093006">
              <w:rPr>
                <w:rFonts w:ascii="Arial" w:hAnsi="Arial" w:cs="Arial"/>
                <w:color w:val="auto"/>
                <w:sz w:val="20"/>
                <w:szCs w:val="20"/>
              </w:rPr>
              <w:t xml:space="preserve"> zaradenia do Zoznamu kategorizovaných liekov</w:t>
            </w:r>
          </w:p>
          <w:tbl>
            <w:tblPr>
              <w:tblStyle w:val="TableGrid"/>
              <w:tblW w:w="8422" w:type="dxa"/>
              <w:tblLook w:val="04A0" w:firstRow="1" w:lastRow="0" w:firstColumn="1" w:lastColumn="0" w:noHBand="0" w:noVBand="1"/>
            </w:tblPr>
            <w:tblGrid>
              <w:gridCol w:w="1001"/>
              <w:gridCol w:w="1342"/>
              <w:gridCol w:w="1277"/>
              <w:gridCol w:w="1006"/>
              <w:gridCol w:w="1277"/>
              <w:gridCol w:w="1277"/>
              <w:gridCol w:w="1242"/>
            </w:tblGrid>
            <w:tr w:rsidR="00BF0B48" w:rsidRPr="00093006" w:rsidTr="00093006">
              <w:trPr>
                <w:trHeight w:val="262"/>
              </w:trPr>
              <w:tc>
                <w:tcPr>
                  <w:tcW w:w="626" w:type="pct"/>
                  <w:vMerge w:val="restart"/>
                </w:tcPr>
                <w:p w:rsidR="00BF0B48" w:rsidRPr="00093006" w:rsidRDefault="00BF0B48" w:rsidP="00BF0B48">
                  <w:pPr>
                    <w:rPr>
                      <w:rFonts w:asciiTheme="minorBidi" w:hAnsiTheme="minorBidi" w:cstheme="minorBidi"/>
                      <w:bCs/>
                      <w:i/>
                      <w:color w:val="000000"/>
                      <w:sz w:val="18"/>
                      <w:szCs w:val="18"/>
                    </w:rPr>
                  </w:pPr>
                  <w:r w:rsidRPr="00093006">
                    <w:rPr>
                      <w:rFonts w:asciiTheme="minorBidi" w:hAnsiTheme="minorBidi" w:cstheme="minorBidi"/>
                      <w:i/>
                      <w:color w:val="000000"/>
                      <w:sz w:val="18"/>
                      <w:szCs w:val="18"/>
                    </w:rPr>
                    <w:t>Indikácia</w:t>
                  </w:r>
                </w:p>
              </w:tc>
              <w:tc>
                <w:tcPr>
                  <w:tcW w:w="2246" w:type="pct"/>
                  <w:gridSpan w:val="3"/>
                  <w:noWrap/>
                  <w:hideMark/>
                </w:tcPr>
                <w:p w:rsidR="00BF0B48" w:rsidRPr="00093006" w:rsidRDefault="00BF0B48" w:rsidP="00BF0B48">
                  <w:pPr>
                    <w:jc w:val="center"/>
                    <w:rPr>
                      <w:rFonts w:asciiTheme="minorBidi" w:hAnsiTheme="minorBidi" w:cstheme="minorBidi"/>
                      <w:bCs/>
                      <w:i/>
                      <w:color w:val="000000"/>
                      <w:sz w:val="18"/>
                      <w:szCs w:val="18"/>
                    </w:rPr>
                  </w:pPr>
                  <w:r w:rsidRPr="00093006">
                    <w:rPr>
                      <w:rFonts w:asciiTheme="minorBidi" w:hAnsiTheme="minorBidi" w:cstheme="minorBidi"/>
                      <w:bCs/>
                      <w:i/>
                      <w:color w:val="000000"/>
                      <w:sz w:val="18"/>
                      <w:szCs w:val="18"/>
                    </w:rPr>
                    <w:t>Počet balení lieku (56x10 mg)</w:t>
                  </w:r>
                </w:p>
              </w:tc>
              <w:tc>
                <w:tcPr>
                  <w:tcW w:w="2128" w:type="pct"/>
                  <w:gridSpan w:val="3"/>
                  <w:noWrap/>
                  <w:hideMark/>
                </w:tcPr>
                <w:p w:rsidR="00BF0B48" w:rsidRPr="00093006" w:rsidRDefault="00BF0B48" w:rsidP="00BF0B48">
                  <w:pPr>
                    <w:jc w:val="center"/>
                    <w:rPr>
                      <w:rFonts w:asciiTheme="minorBidi" w:hAnsiTheme="minorBidi" w:cstheme="minorBidi"/>
                      <w:bCs/>
                      <w:i/>
                      <w:color w:val="000000"/>
                      <w:sz w:val="18"/>
                      <w:szCs w:val="18"/>
                    </w:rPr>
                  </w:pPr>
                  <w:r w:rsidRPr="00093006">
                    <w:rPr>
                      <w:rFonts w:asciiTheme="minorBidi" w:hAnsiTheme="minorBidi" w:cstheme="minorBidi"/>
                      <w:bCs/>
                      <w:i/>
                      <w:color w:val="000000"/>
                      <w:sz w:val="18"/>
                      <w:szCs w:val="18"/>
                    </w:rPr>
                    <w:t>Náklady</w:t>
                  </w:r>
                </w:p>
              </w:tc>
            </w:tr>
            <w:tr w:rsidR="00BF0B48" w:rsidRPr="00093006" w:rsidTr="00093006">
              <w:trPr>
                <w:trHeight w:val="734"/>
              </w:trPr>
              <w:tc>
                <w:tcPr>
                  <w:tcW w:w="626" w:type="pct"/>
                  <w:vMerge/>
                </w:tcPr>
                <w:p w:rsidR="00BF0B48" w:rsidRPr="00093006" w:rsidRDefault="00BF0B48" w:rsidP="00BF0B48">
                  <w:pPr>
                    <w:rPr>
                      <w:rFonts w:asciiTheme="minorBidi" w:hAnsiTheme="minorBidi" w:cstheme="minorBidi"/>
                      <w:i/>
                      <w:color w:val="000000"/>
                      <w:sz w:val="18"/>
                      <w:szCs w:val="18"/>
                    </w:rPr>
                  </w:pPr>
                </w:p>
              </w:tc>
              <w:tc>
                <w:tcPr>
                  <w:tcW w:w="828" w:type="pct"/>
                  <w:vAlign w:val="center"/>
                  <w:hideMark/>
                </w:tcPr>
                <w:p w:rsidR="00BF0B48" w:rsidRPr="00093006" w:rsidRDefault="00BF0B48"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prvých 12 mesiacov od kategorizácie</w:t>
                  </w:r>
                </w:p>
              </w:tc>
              <w:tc>
                <w:tcPr>
                  <w:tcW w:w="786" w:type="pct"/>
                  <w:vAlign w:val="center"/>
                  <w:hideMark/>
                </w:tcPr>
                <w:p w:rsidR="00BF0B48" w:rsidRPr="00093006" w:rsidRDefault="00BF0B48"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druhých 12 mesiacov od kategorizácie</w:t>
                  </w:r>
                </w:p>
              </w:tc>
              <w:tc>
                <w:tcPr>
                  <w:tcW w:w="632" w:type="pct"/>
                  <w:vAlign w:val="center"/>
                </w:tcPr>
                <w:p w:rsidR="00BF0B48" w:rsidRPr="00093006" w:rsidRDefault="00BF0B48"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Spolu</w:t>
                  </w:r>
                  <w:r w:rsidR="00093006" w:rsidRPr="00093006">
                    <w:rPr>
                      <w:rFonts w:asciiTheme="minorBidi" w:hAnsiTheme="minorBidi" w:cstheme="minorBidi"/>
                      <w:i/>
                      <w:color w:val="000000"/>
                      <w:sz w:val="18"/>
                      <w:szCs w:val="18"/>
                    </w:rPr>
                    <w:t xml:space="preserve"> za prvých 24 mesiacov</w:t>
                  </w:r>
                </w:p>
              </w:tc>
              <w:tc>
                <w:tcPr>
                  <w:tcW w:w="571" w:type="pct"/>
                  <w:vAlign w:val="center"/>
                  <w:hideMark/>
                </w:tcPr>
                <w:p w:rsidR="00BF0B48" w:rsidRPr="00093006" w:rsidRDefault="00BF0B48"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prvých 12 mesiacov od kategorizácie</w:t>
                  </w:r>
                </w:p>
              </w:tc>
              <w:tc>
                <w:tcPr>
                  <w:tcW w:w="786" w:type="pct"/>
                  <w:vAlign w:val="center"/>
                  <w:hideMark/>
                </w:tcPr>
                <w:p w:rsidR="00BF0B48" w:rsidRPr="00093006" w:rsidRDefault="00BF0B48"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druhých 12 mesiacov od kategorizácie</w:t>
                  </w:r>
                </w:p>
              </w:tc>
              <w:tc>
                <w:tcPr>
                  <w:tcW w:w="771" w:type="pct"/>
                  <w:vAlign w:val="center"/>
                </w:tcPr>
                <w:p w:rsidR="00BF0B48" w:rsidRPr="00093006" w:rsidRDefault="00093006" w:rsidP="00093006">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Spolu za prvých 24 mesiacov</w:t>
                  </w:r>
                </w:p>
              </w:tc>
            </w:tr>
            <w:tr w:rsidR="00BF0B48" w:rsidRPr="00093006" w:rsidTr="00093006">
              <w:trPr>
                <w:trHeight w:val="262"/>
              </w:trPr>
              <w:tc>
                <w:tcPr>
                  <w:tcW w:w="626" w:type="pct"/>
                </w:tcPr>
                <w:p w:rsidR="00BF0B48" w:rsidRPr="00093006" w:rsidRDefault="00BF0B48" w:rsidP="00BF0B48">
                  <w:pPr>
                    <w:ind w:right="-247"/>
                    <w:rPr>
                      <w:rFonts w:asciiTheme="minorBidi" w:hAnsiTheme="minorBidi" w:cstheme="minorBidi"/>
                      <w:i/>
                      <w:color w:val="000000"/>
                      <w:sz w:val="18"/>
                      <w:szCs w:val="18"/>
                    </w:rPr>
                  </w:pPr>
                  <w:r w:rsidRPr="00093006">
                    <w:rPr>
                      <w:rFonts w:asciiTheme="minorBidi" w:hAnsiTheme="minorBidi" w:cstheme="minorBidi"/>
                      <w:i/>
                      <w:color w:val="000000"/>
                      <w:sz w:val="18"/>
                      <w:szCs w:val="18"/>
                    </w:rPr>
                    <w:t>PV</w:t>
                  </w:r>
                </w:p>
              </w:tc>
              <w:tc>
                <w:tcPr>
                  <w:tcW w:w="828" w:type="pct"/>
                  <w:noWrap/>
                  <w:hideMark/>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109</w:t>
                  </w:r>
                </w:p>
              </w:tc>
              <w:tc>
                <w:tcPr>
                  <w:tcW w:w="786" w:type="pct"/>
                  <w:noWrap/>
                  <w:hideMark/>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232</w:t>
                  </w:r>
                </w:p>
              </w:tc>
              <w:tc>
                <w:tcPr>
                  <w:tcW w:w="632" w:type="pct"/>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341</w:t>
                  </w:r>
                </w:p>
              </w:tc>
              <w:tc>
                <w:tcPr>
                  <w:tcW w:w="571" w:type="pct"/>
                  <w:noWrap/>
                  <w:hideMark/>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370 926 €</w:t>
                  </w:r>
                </w:p>
              </w:tc>
              <w:tc>
                <w:tcPr>
                  <w:tcW w:w="786" w:type="pct"/>
                  <w:noWrap/>
                  <w:hideMark/>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789 494  €</w:t>
                  </w:r>
                </w:p>
              </w:tc>
              <w:tc>
                <w:tcPr>
                  <w:tcW w:w="771" w:type="pct"/>
                </w:tcPr>
                <w:p w:rsidR="00BF0B48" w:rsidRPr="00093006" w:rsidRDefault="00BF0B48" w:rsidP="00BF0B48">
                  <w:pPr>
                    <w:jc w:val="center"/>
                    <w:rPr>
                      <w:rFonts w:asciiTheme="minorBidi" w:hAnsiTheme="minorBidi" w:cstheme="minorBidi"/>
                      <w:i/>
                      <w:color w:val="000000"/>
                      <w:sz w:val="18"/>
                      <w:szCs w:val="18"/>
                    </w:rPr>
                  </w:pPr>
                  <w:r w:rsidRPr="00093006">
                    <w:rPr>
                      <w:rFonts w:asciiTheme="minorBidi" w:hAnsiTheme="minorBidi" w:cstheme="minorBidi"/>
                      <w:i/>
                      <w:color w:val="000000"/>
                      <w:sz w:val="18"/>
                      <w:szCs w:val="18"/>
                    </w:rPr>
                    <w:t>1 160 420 €</w:t>
                  </w:r>
                </w:p>
              </w:tc>
            </w:tr>
          </w:tbl>
          <w:p w:rsidR="00997D68" w:rsidRPr="00093006" w:rsidRDefault="00997D68" w:rsidP="00F41B75">
            <w:pPr>
              <w:pStyle w:val="BodyText"/>
              <w:rPr>
                <w:rFonts w:ascii="Arial" w:hAnsi="Arial" w:cs="Arial"/>
                <w:bCs/>
                <w:i/>
                <w:sz w:val="20"/>
              </w:rPr>
            </w:pPr>
          </w:p>
          <w:p w:rsidR="00997D68" w:rsidRDefault="00997D68" w:rsidP="00F41B75">
            <w:pPr>
              <w:pStyle w:val="BodyText"/>
              <w:rPr>
                <w:rFonts w:ascii="Arial" w:hAnsi="Arial" w:cs="Arial"/>
                <w:b/>
                <w:bCs/>
                <w:i/>
                <w:sz w:val="20"/>
              </w:rPr>
            </w:pPr>
          </w:p>
          <w:p w:rsidR="00997D68" w:rsidRDefault="00997D68" w:rsidP="00F41B75">
            <w:pPr>
              <w:pStyle w:val="BodyText"/>
              <w:rPr>
                <w:rFonts w:ascii="Arial" w:hAnsi="Arial" w:cs="Arial"/>
                <w:b/>
                <w:bCs/>
                <w:i/>
                <w:sz w:val="20"/>
              </w:rPr>
            </w:pPr>
          </w:p>
        </w:tc>
      </w:tr>
    </w:tbl>
    <w:p w:rsidR="002E4410" w:rsidRDefault="002E4410" w:rsidP="00DB121E"/>
    <w:p w:rsidR="00BA52DD" w:rsidRDefault="00BA52DD" w:rsidP="00DB121E"/>
    <w:p w:rsidR="00B7479C" w:rsidRDefault="00B7479C" w:rsidP="00DB121E"/>
    <w:p w:rsidR="00B7479C" w:rsidRDefault="00B7479C" w:rsidP="00DB121E"/>
    <w:p w:rsidR="00A05EA6" w:rsidRDefault="00A05EA6"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242"/>
        <w:gridCol w:w="7984"/>
      </w:tblGrid>
      <w:tr w:rsidR="00A05EA6" w:rsidTr="00F41B75">
        <w:trPr>
          <w:trHeight w:val="440"/>
        </w:trPr>
        <w:tc>
          <w:tcPr>
            <w:tcW w:w="1242" w:type="dxa"/>
            <w:tcBorders>
              <w:top w:val="single" w:sz="18" w:space="0" w:color="auto"/>
              <w:bottom w:val="single" w:sz="4" w:space="0" w:color="auto"/>
            </w:tcBorders>
            <w:shd w:val="clear" w:color="auto" w:fill="000000"/>
            <w:vAlign w:val="center"/>
          </w:tcPr>
          <w:p w:rsidR="00A05EA6" w:rsidRDefault="00A05EA6" w:rsidP="00F41B75">
            <w:pPr>
              <w:pStyle w:val="BodyText"/>
              <w:rPr>
                <w:rFonts w:ascii="Arial" w:hAnsi="Arial" w:cs="Arial"/>
                <w:b/>
                <w:sz w:val="20"/>
              </w:rPr>
            </w:pPr>
            <w:r>
              <w:rPr>
                <w:rFonts w:ascii="Arial" w:hAnsi="Arial" w:cs="Arial"/>
                <w:b/>
                <w:sz w:val="20"/>
              </w:rPr>
              <w:t>Časť H</w:t>
            </w:r>
          </w:p>
        </w:tc>
        <w:tc>
          <w:tcPr>
            <w:tcW w:w="7984" w:type="dxa"/>
            <w:tcBorders>
              <w:top w:val="single" w:sz="18" w:space="0" w:color="auto"/>
              <w:bottom w:val="single" w:sz="4" w:space="0" w:color="auto"/>
            </w:tcBorders>
            <w:vAlign w:val="center"/>
          </w:tcPr>
          <w:p w:rsidR="00A05EA6" w:rsidRPr="00E76A8E" w:rsidRDefault="00A05EA6" w:rsidP="00F41B75">
            <w:pPr>
              <w:pStyle w:val="BodyText"/>
              <w:rPr>
                <w:rFonts w:ascii="Arial" w:hAnsi="Arial" w:cs="Arial"/>
                <w:sz w:val="20"/>
              </w:rPr>
            </w:pPr>
            <w:r>
              <w:rPr>
                <w:rFonts w:ascii="Arial" w:hAnsi="Arial" w:cs="Arial"/>
                <w:b/>
                <w:sz w:val="20"/>
              </w:rPr>
              <w:t>Zmluva so zdravotnou poisťovňou</w:t>
            </w:r>
          </w:p>
        </w:tc>
      </w:tr>
      <w:tr w:rsidR="00A05EA6" w:rsidTr="00F41B75">
        <w:trPr>
          <w:trHeight w:val="508"/>
        </w:trPr>
        <w:tc>
          <w:tcPr>
            <w:tcW w:w="9226" w:type="dxa"/>
            <w:gridSpan w:val="2"/>
            <w:tcBorders>
              <w:top w:val="single" w:sz="4" w:space="0" w:color="auto"/>
              <w:bottom w:val="single" w:sz="12" w:space="0" w:color="auto"/>
            </w:tcBorders>
            <w:vAlign w:val="center"/>
          </w:tcPr>
          <w:p w:rsidR="00A05EA6" w:rsidRDefault="00A05EA6" w:rsidP="00A05EA6">
            <w:pPr>
              <w:pStyle w:val="BodyText"/>
              <w:spacing w:line="360" w:lineRule="auto"/>
              <w:rPr>
                <w:rFonts w:ascii="Arial" w:hAnsi="Arial" w:cs="Arial"/>
                <w:i/>
                <w:sz w:val="20"/>
              </w:rPr>
            </w:pPr>
          </w:p>
          <w:p w:rsidR="00A05EA6" w:rsidRDefault="00A05EA6" w:rsidP="00A05EA6">
            <w:pPr>
              <w:pStyle w:val="BodyText"/>
              <w:spacing w:line="360" w:lineRule="auto"/>
              <w:rPr>
                <w:rFonts w:ascii="Arial" w:hAnsi="Arial" w:cs="Arial"/>
                <w:i/>
                <w:sz w:val="20"/>
              </w:rPr>
            </w:pPr>
            <w:r>
              <w:rPr>
                <w:rFonts w:ascii="Arial" w:hAnsi="Arial" w:cs="Arial"/>
                <w:i/>
                <w:sz w:val="20"/>
              </w:rPr>
              <w:fldChar w:fldCharType="begin">
                <w:ffData>
                  <w:name w:val="x"/>
                  <w:enabled/>
                  <w:calcOnExit w:val="0"/>
                  <w:checkBox>
                    <w:sizeAuto/>
                    <w:default w:val="0"/>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Pr>
                <w:rFonts w:ascii="Arial" w:hAnsi="Arial" w:cs="Arial"/>
                <w:i/>
                <w:sz w:val="20"/>
              </w:rPr>
              <w:t xml:space="preserve"> </w:t>
            </w:r>
            <w:r>
              <w:rPr>
                <w:rFonts w:ascii="Arial" w:hAnsi="Arial" w:cs="Arial"/>
                <w:b/>
                <w:i/>
                <w:sz w:val="20"/>
              </w:rPr>
              <w:t>ÁNO</w:t>
            </w:r>
          </w:p>
          <w:p w:rsidR="00A05EA6" w:rsidRDefault="00F56F49" w:rsidP="00A05EA6">
            <w:pPr>
              <w:pStyle w:val="BodyText"/>
              <w:spacing w:line="360" w:lineRule="auto"/>
              <w:rPr>
                <w:rFonts w:ascii="Arial" w:hAnsi="Arial" w:cs="Arial"/>
                <w:b/>
                <w:i/>
                <w:sz w:val="20"/>
              </w:rPr>
            </w:pPr>
            <w:r>
              <w:rPr>
                <w:rFonts w:ascii="Arial" w:hAnsi="Arial" w:cs="Arial"/>
                <w:i/>
                <w:sz w:val="20"/>
              </w:rPr>
              <w:fldChar w:fldCharType="begin">
                <w:ffData>
                  <w:name w:val=""/>
                  <w:enabled/>
                  <w:calcOnExit w:val="0"/>
                  <w:checkBox>
                    <w:sizeAuto/>
                    <w:default w:val="1"/>
                  </w:checkBox>
                </w:ffData>
              </w:fldChar>
            </w:r>
            <w:r>
              <w:rPr>
                <w:rFonts w:ascii="Arial" w:hAnsi="Arial" w:cs="Arial"/>
                <w:i/>
                <w:sz w:val="20"/>
              </w:rPr>
              <w:instrText xml:space="preserve"> FORMCHECKBOX </w:instrText>
            </w:r>
            <w:r w:rsidR="00670E15">
              <w:rPr>
                <w:rFonts w:ascii="Arial" w:hAnsi="Arial" w:cs="Arial"/>
                <w:i/>
                <w:sz w:val="20"/>
              </w:rPr>
            </w:r>
            <w:r w:rsidR="00670E15">
              <w:rPr>
                <w:rFonts w:ascii="Arial" w:hAnsi="Arial" w:cs="Arial"/>
                <w:i/>
                <w:sz w:val="20"/>
              </w:rPr>
              <w:fldChar w:fldCharType="separate"/>
            </w:r>
            <w:r>
              <w:rPr>
                <w:rFonts w:ascii="Arial" w:hAnsi="Arial" w:cs="Arial"/>
                <w:i/>
                <w:sz w:val="20"/>
              </w:rPr>
              <w:fldChar w:fldCharType="end"/>
            </w:r>
            <w:r w:rsidR="00A05EA6">
              <w:rPr>
                <w:rFonts w:ascii="Arial" w:hAnsi="Arial" w:cs="Arial"/>
                <w:i/>
                <w:sz w:val="20"/>
              </w:rPr>
              <w:t xml:space="preserve"> </w:t>
            </w:r>
            <w:r w:rsidR="00A05EA6">
              <w:rPr>
                <w:rFonts w:ascii="Arial" w:hAnsi="Arial" w:cs="Arial"/>
                <w:b/>
                <w:i/>
                <w:sz w:val="20"/>
              </w:rPr>
              <w:t>NIE</w:t>
            </w:r>
          </w:p>
          <w:p w:rsidR="00A05EA6" w:rsidRDefault="00A05EA6" w:rsidP="00F41B75">
            <w:pPr>
              <w:pStyle w:val="BodyText"/>
              <w:rPr>
                <w:rFonts w:ascii="Arial" w:hAnsi="Arial" w:cs="Arial"/>
                <w:b/>
                <w:bCs/>
                <w:i/>
                <w:sz w:val="20"/>
              </w:rPr>
            </w:pPr>
          </w:p>
        </w:tc>
      </w:tr>
    </w:tbl>
    <w:p w:rsidR="00A05EA6" w:rsidRDefault="00A05EA6" w:rsidP="00DB121E"/>
    <w:p w:rsidR="00C02E7B" w:rsidRDefault="00C02E7B"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242"/>
        <w:gridCol w:w="7984"/>
      </w:tblGrid>
      <w:tr w:rsidR="00DB121E" w:rsidTr="009B2620">
        <w:trPr>
          <w:trHeight w:val="440"/>
        </w:trPr>
        <w:tc>
          <w:tcPr>
            <w:tcW w:w="1242" w:type="dxa"/>
            <w:tcBorders>
              <w:top w:val="single" w:sz="18" w:space="0" w:color="auto"/>
              <w:bottom w:val="single" w:sz="4" w:space="0" w:color="auto"/>
            </w:tcBorders>
            <w:shd w:val="clear" w:color="auto" w:fill="000000"/>
            <w:vAlign w:val="center"/>
          </w:tcPr>
          <w:p w:rsidR="00DB121E" w:rsidRDefault="0091093E" w:rsidP="007F3289">
            <w:pPr>
              <w:pStyle w:val="BodyText"/>
              <w:rPr>
                <w:rFonts w:ascii="Arial" w:hAnsi="Arial" w:cs="Arial"/>
                <w:b/>
                <w:sz w:val="20"/>
              </w:rPr>
            </w:pPr>
            <w:r>
              <w:rPr>
                <w:rFonts w:ascii="Arial" w:hAnsi="Arial" w:cs="Arial"/>
                <w:b/>
                <w:sz w:val="20"/>
              </w:rPr>
              <w:t xml:space="preserve">Príloha č.1 </w:t>
            </w:r>
          </w:p>
        </w:tc>
        <w:tc>
          <w:tcPr>
            <w:tcW w:w="7984" w:type="dxa"/>
            <w:tcBorders>
              <w:top w:val="single" w:sz="18" w:space="0" w:color="auto"/>
              <w:bottom w:val="single" w:sz="4" w:space="0" w:color="auto"/>
            </w:tcBorders>
            <w:vAlign w:val="center"/>
          </w:tcPr>
          <w:p w:rsidR="00DB121E" w:rsidRPr="00E76A8E" w:rsidRDefault="00DB121E" w:rsidP="007F3289">
            <w:pPr>
              <w:pStyle w:val="BodyText"/>
              <w:rPr>
                <w:rFonts w:ascii="Arial" w:hAnsi="Arial" w:cs="Arial"/>
                <w:sz w:val="20"/>
              </w:rPr>
            </w:pPr>
            <w:r w:rsidRPr="00E76A8E">
              <w:rPr>
                <w:rFonts w:ascii="Arial" w:hAnsi="Arial" w:cs="Arial"/>
                <w:b/>
                <w:sz w:val="20"/>
              </w:rPr>
              <w:t>Údaje o účinnosti lieku podložené výsledkami klinických skúšok</w:t>
            </w:r>
          </w:p>
        </w:tc>
      </w:tr>
      <w:tr w:rsidR="00DB121E" w:rsidRPr="00F41B75" w:rsidTr="002E6A26">
        <w:trPr>
          <w:trHeight w:val="508"/>
        </w:trPr>
        <w:tc>
          <w:tcPr>
            <w:tcW w:w="9226" w:type="dxa"/>
            <w:gridSpan w:val="2"/>
            <w:tcBorders>
              <w:top w:val="single" w:sz="4" w:space="0" w:color="auto"/>
              <w:bottom w:val="single" w:sz="12" w:space="0" w:color="auto"/>
            </w:tcBorders>
            <w:vAlign w:val="center"/>
          </w:tcPr>
          <w:p w:rsidR="00F41B75" w:rsidRDefault="00F41B75" w:rsidP="00F41B75">
            <w:pPr>
              <w:spacing w:after="120"/>
              <w:jc w:val="both"/>
              <w:rPr>
                <w:rFonts w:ascii="Arial" w:hAnsi="Arial" w:cs="Arial"/>
                <w:noProof/>
                <w:sz w:val="20"/>
                <w:szCs w:val="20"/>
              </w:rPr>
            </w:pPr>
          </w:p>
          <w:p w:rsidR="003D11CC" w:rsidRPr="00344F0D" w:rsidRDefault="003D11CC" w:rsidP="003D11CC">
            <w:pPr>
              <w:autoSpaceDE w:val="0"/>
              <w:autoSpaceDN w:val="0"/>
              <w:adjustRightInd w:val="0"/>
              <w:jc w:val="both"/>
              <w:rPr>
                <w:rFonts w:ascii="Arial" w:hAnsi="Arial" w:cs="Arial"/>
                <w:b/>
                <w:bCs/>
                <w:sz w:val="20"/>
                <w:szCs w:val="20"/>
                <w:u w:val="single"/>
              </w:rPr>
            </w:pPr>
            <w:r>
              <w:rPr>
                <w:rFonts w:ascii="Arial" w:hAnsi="Arial" w:cs="Arial"/>
                <w:b/>
                <w:bCs/>
                <w:sz w:val="20"/>
                <w:szCs w:val="20"/>
                <w:u w:val="single"/>
              </w:rPr>
              <w:t>A</w:t>
            </w:r>
            <w:r w:rsidRPr="00344F0D">
              <w:rPr>
                <w:rFonts w:ascii="Arial" w:hAnsi="Arial" w:cs="Arial"/>
                <w:b/>
                <w:bCs/>
                <w:sz w:val="20"/>
                <w:szCs w:val="20"/>
                <w:u w:val="single"/>
              </w:rPr>
              <w:t>) Údaje k počtu vhodných pacientov</w:t>
            </w:r>
          </w:p>
          <w:p w:rsidR="003D11CC" w:rsidRDefault="003D11CC" w:rsidP="003D11CC">
            <w:pPr>
              <w:autoSpaceDE w:val="0"/>
              <w:autoSpaceDN w:val="0"/>
              <w:adjustRightInd w:val="0"/>
              <w:jc w:val="both"/>
              <w:rPr>
                <w:rFonts w:ascii="Arial" w:hAnsi="Arial" w:cs="Arial"/>
                <w:bCs/>
                <w:sz w:val="20"/>
                <w:szCs w:val="20"/>
              </w:rPr>
            </w:pPr>
          </w:p>
          <w:p w:rsidR="003D11CC" w:rsidRDefault="003D11CC" w:rsidP="00220F88">
            <w:pPr>
              <w:autoSpaceDE w:val="0"/>
              <w:autoSpaceDN w:val="0"/>
              <w:adjustRightInd w:val="0"/>
              <w:jc w:val="both"/>
              <w:rPr>
                <w:rFonts w:ascii="Arial" w:hAnsi="Arial" w:cs="Arial"/>
                <w:b/>
                <w:sz w:val="20"/>
                <w:szCs w:val="20"/>
                <w:u w:val="single"/>
              </w:rPr>
            </w:pPr>
            <w:r w:rsidRPr="00F15759">
              <w:rPr>
                <w:rFonts w:ascii="Arial" w:hAnsi="Arial" w:cs="Arial"/>
                <w:bCs/>
                <w:sz w:val="20"/>
                <w:szCs w:val="20"/>
              </w:rPr>
              <w:t xml:space="preserve">Liek </w:t>
            </w:r>
            <w:r>
              <w:rPr>
                <w:rFonts w:ascii="Arial" w:hAnsi="Arial" w:cs="Arial"/>
                <w:bCs/>
                <w:sz w:val="20"/>
                <w:szCs w:val="20"/>
              </w:rPr>
              <w:t>Jakavi (</w:t>
            </w:r>
            <w:r>
              <w:rPr>
                <w:rFonts w:ascii="Arial" w:hAnsi="Arial" w:cs="Arial"/>
                <w:noProof/>
                <w:sz w:val="20"/>
                <w:szCs w:val="20"/>
              </w:rPr>
              <w:t>ruxolitinib</w:t>
            </w:r>
            <w:r w:rsidRPr="00656557">
              <w:rPr>
                <w:rFonts w:ascii="Arial" w:hAnsi="Arial" w:cs="Arial"/>
                <w:noProof/>
                <w:sz w:val="20"/>
                <w:szCs w:val="20"/>
              </w:rPr>
              <w:t>)</w:t>
            </w:r>
            <w:r w:rsidRPr="00F15759">
              <w:rPr>
                <w:rFonts w:ascii="Arial" w:hAnsi="Arial" w:cs="Arial"/>
                <w:bCs/>
                <w:sz w:val="20"/>
                <w:szCs w:val="20"/>
              </w:rPr>
              <w:t xml:space="preserve"> </w:t>
            </w:r>
            <w:r w:rsidRPr="003831CA">
              <w:rPr>
                <w:rFonts w:ascii="Arial" w:hAnsi="Arial" w:cs="Arial"/>
                <w:b/>
                <w:sz w:val="20"/>
                <w:szCs w:val="20"/>
              </w:rPr>
              <w:t>10 mg</w:t>
            </w:r>
            <w:r>
              <w:rPr>
                <w:rFonts w:ascii="Arial" w:hAnsi="Arial" w:cs="Arial"/>
                <w:bCs/>
                <w:sz w:val="20"/>
                <w:szCs w:val="20"/>
              </w:rPr>
              <w:t xml:space="preserve"> </w:t>
            </w:r>
            <w:r w:rsidRPr="00F15759">
              <w:rPr>
                <w:rFonts w:ascii="Arial" w:hAnsi="Arial" w:cs="Arial"/>
                <w:bCs/>
                <w:sz w:val="20"/>
                <w:szCs w:val="20"/>
              </w:rPr>
              <w:t xml:space="preserve">je určený na liečbu </w:t>
            </w:r>
            <w:r>
              <w:rPr>
                <w:rFonts w:ascii="Arial" w:hAnsi="Arial" w:cs="Arial"/>
                <w:bCs/>
                <w:sz w:val="20"/>
                <w:szCs w:val="20"/>
              </w:rPr>
              <w:t>chor</w:t>
            </w:r>
            <w:r w:rsidR="000A2811">
              <w:rPr>
                <w:rFonts w:ascii="Arial" w:hAnsi="Arial" w:cs="Arial"/>
                <w:bCs/>
                <w:sz w:val="20"/>
                <w:szCs w:val="20"/>
              </w:rPr>
              <w:t xml:space="preserve">oby, </w:t>
            </w:r>
            <w:r w:rsidRPr="00F15759">
              <w:rPr>
                <w:rFonts w:ascii="Arial" w:hAnsi="Arial" w:cs="Arial"/>
                <w:bCs/>
                <w:sz w:val="20"/>
                <w:szCs w:val="20"/>
              </w:rPr>
              <w:t>pri ktor</w:t>
            </w:r>
            <w:r w:rsidR="000A2811">
              <w:rPr>
                <w:rFonts w:ascii="Arial" w:hAnsi="Arial" w:cs="Arial"/>
                <w:bCs/>
                <w:sz w:val="20"/>
                <w:szCs w:val="20"/>
              </w:rPr>
              <w:t xml:space="preserve">ej je </w:t>
            </w:r>
            <w:r w:rsidRPr="00F15759">
              <w:rPr>
                <w:rFonts w:ascii="Arial" w:hAnsi="Arial" w:cs="Arial"/>
                <w:bCs/>
                <w:sz w:val="20"/>
                <w:szCs w:val="20"/>
              </w:rPr>
              <w:t xml:space="preserve">počet </w:t>
            </w:r>
            <w:r w:rsidR="003831CA" w:rsidRPr="00F15759">
              <w:rPr>
                <w:rFonts w:ascii="Arial" w:hAnsi="Arial" w:cs="Arial"/>
                <w:bCs/>
                <w:sz w:val="20"/>
                <w:szCs w:val="20"/>
              </w:rPr>
              <w:t xml:space="preserve">vhodných </w:t>
            </w:r>
            <w:r w:rsidRPr="00F15759">
              <w:rPr>
                <w:rFonts w:ascii="Arial" w:hAnsi="Arial" w:cs="Arial"/>
                <w:bCs/>
                <w:sz w:val="20"/>
                <w:szCs w:val="20"/>
              </w:rPr>
              <w:t>pacientov podľa registrovan</w:t>
            </w:r>
            <w:r w:rsidR="000A2811">
              <w:rPr>
                <w:rFonts w:ascii="Arial" w:hAnsi="Arial" w:cs="Arial"/>
                <w:bCs/>
                <w:sz w:val="20"/>
                <w:szCs w:val="20"/>
              </w:rPr>
              <w:t xml:space="preserve">ej </w:t>
            </w:r>
            <w:r w:rsidRPr="00F15759">
              <w:rPr>
                <w:rFonts w:ascii="Arial" w:hAnsi="Arial" w:cs="Arial"/>
                <w:bCs/>
                <w:sz w:val="20"/>
                <w:szCs w:val="20"/>
              </w:rPr>
              <w:t>indikác</w:t>
            </w:r>
            <w:r w:rsidR="000A2811">
              <w:rPr>
                <w:rFonts w:ascii="Arial" w:hAnsi="Arial" w:cs="Arial"/>
                <w:bCs/>
                <w:sz w:val="20"/>
                <w:szCs w:val="20"/>
              </w:rPr>
              <w:t xml:space="preserve">ie </w:t>
            </w:r>
            <w:r w:rsidR="003831CA" w:rsidRPr="003831CA">
              <w:rPr>
                <w:rFonts w:ascii="Arial" w:hAnsi="Arial" w:cs="Arial"/>
                <w:b/>
                <w:sz w:val="20"/>
                <w:szCs w:val="20"/>
              </w:rPr>
              <w:t>„</w:t>
            </w:r>
            <w:r w:rsidR="003831CA">
              <w:rPr>
                <w:rFonts w:ascii="Arial" w:hAnsi="Arial" w:cs="Arial"/>
                <w:b/>
                <w:sz w:val="20"/>
                <w:szCs w:val="20"/>
              </w:rPr>
              <w:t>liečba</w:t>
            </w:r>
            <w:r w:rsidR="003831CA" w:rsidRPr="003831CA">
              <w:rPr>
                <w:rFonts w:ascii="Arial" w:hAnsi="Arial" w:cs="Arial"/>
                <w:b/>
                <w:sz w:val="20"/>
                <w:szCs w:val="20"/>
              </w:rPr>
              <w:t xml:space="preserve"> dospelých pacientov s polycytémiou vera s rezistenciou alebo intoleranciou na hydroxyureu“</w:t>
            </w:r>
            <w:r w:rsidR="003831CA">
              <w:rPr>
                <w:rFonts w:ascii="Arial" w:hAnsi="Arial" w:cs="Arial"/>
                <w:bCs/>
                <w:sz w:val="20"/>
                <w:szCs w:val="20"/>
              </w:rPr>
              <w:t xml:space="preserve"> </w:t>
            </w:r>
            <w:r w:rsidRPr="00DD203E">
              <w:rPr>
                <w:rFonts w:ascii="Arial" w:hAnsi="Arial" w:cs="Arial"/>
                <w:b/>
                <w:sz w:val="20"/>
                <w:szCs w:val="20"/>
              </w:rPr>
              <w:t xml:space="preserve">v Slovenskej republike </w:t>
            </w:r>
            <w:r w:rsidR="00220F88">
              <w:rPr>
                <w:rFonts w:ascii="Arial" w:hAnsi="Arial" w:cs="Arial"/>
                <w:b/>
                <w:sz w:val="20"/>
                <w:szCs w:val="20"/>
                <w:u w:val="single"/>
              </w:rPr>
              <w:t>nižší ako 1:50 000 a to na úrovni maximálne 96 pacientov, čo predstavuje výskyt 0,88 : 50 000</w:t>
            </w:r>
            <w:r w:rsidRPr="00DD203E">
              <w:rPr>
                <w:rFonts w:ascii="Arial" w:hAnsi="Arial" w:cs="Arial"/>
                <w:b/>
                <w:sz w:val="20"/>
                <w:szCs w:val="20"/>
                <w:u w:val="single"/>
              </w:rPr>
              <w:t>.</w:t>
            </w:r>
            <w:r w:rsidR="00220F88">
              <w:rPr>
                <w:rFonts w:ascii="Arial" w:hAnsi="Arial" w:cs="Arial"/>
                <w:b/>
                <w:sz w:val="20"/>
                <w:szCs w:val="20"/>
                <w:u w:val="single"/>
              </w:rPr>
              <w:t xml:space="preserve"> Odhaduje sa, že počet liečených pacientov bude na úrovni 54 pacientov, t.j. výskyt 0,50 : 50 000. </w:t>
            </w:r>
          </w:p>
          <w:p w:rsidR="006B67BC" w:rsidRDefault="006B67BC" w:rsidP="006B67BC">
            <w:pPr>
              <w:jc w:val="both"/>
              <w:rPr>
                <w:rFonts w:asciiTheme="minorBidi" w:hAnsiTheme="minorBidi"/>
                <w:sz w:val="20"/>
                <w:szCs w:val="20"/>
              </w:rPr>
            </w:pPr>
          </w:p>
          <w:p w:rsidR="006B67BC" w:rsidRPr="006B67BC" w:rsidRDefault="006B67BC" w:rsidP="006B67BC">
            <w:pPr>
              <w:jc w:val="both"/>
              <w:rPr>
                <w:rFonts w:asciiTheme="minorBidi" w:hAnsiTheme="minorBidi"/>
                <w:b/>
                <w:bCs/>
                <w:sz w:val="20"/>
                <w:szCs w:val="20"/>
              </w:rPr>
            </w:pPr>
            <w:r w:rsidRPr="006B67BC">
              <w:rPr>
                <w:rFonts w:asciiTheme="minorBidi" w:hAnsiTheme="minorBidi"/>
                <w:b/>
                <w:bCs/>
                <w:sz w:val="20"/>
                <w:szCs w:val="20"/>
              </w:rPr>
              <w:t xml:space="preserve">Liek Jakavi 10 mg je určený na dávkovanie 10 mg dvakrát denne, ktoré sa odporúča pri diagnóze polycytémia vera. Sily 15 mg a 20 mg sú určené podľa odporúčaného dávkovania </w:t>
            </w:r>
            <w:r>
              <w:rPr>
                <w:rFonts w:asciiTheme="minorBidi" w:hAnsiTheme="minorBidi"/>
                <w:b/>
                <w:bCs/>
                <w:sz w:val="20"/>
                <w:szCs w:val="20"/>
              </w:rPr>
              <w:br/>
            </w:r>
            <w:r w:rsidRPr="006B67BC">
              <w:rPr>
                <w:rFonts w:asciiTheme="minorBidi" w:hAnsiTheme="minorBidi"/>
                <w:b/>
                <w:bCs/>
                <w:sz w:val="20"/>
                <w:szCs w:val="20"/>
              </w:rPr>
              <w:t>v časti 4.2 Dávkovanie a spôsob podávania v SPC lieku Jakavi na diagnózu myelofibróza (MF). Sila 5 mg sa v klinickej praxi používa na titráciu dávky pri MF, kde sa dávka určuje podľa</w:t>
            </w:r>
            <w:r w:rsidRPr="006B67BC">
              <w:rPr>
                <w:b/>
                <w:bCs/>
              </w:rPr>
              <w:t xml:space="preserve"> </w:t>
            </w:r>
            <w:r w:rsidRPr="006B67BC">
              <w:rPr>
                <w:rFonts w:asciiTheme="minorBidi" w:hAnsiTheme="minorBidi"/>
                <w:b/>
                <w:bCs/>
                <w:sz w:val="20"/>
                <w:szCs w:val="20"/>
              </w:rPr>
              <w:t>počtu krvných doštičiek.</w:t>
            </w:r>
          </w:p>
          <w:p w:rsidR="003D11CC" w:rsidRDefault="003D11CC" w:rsidP="00F41B75">
            <w:pPr>
              <w:spacing w:after="120"/>
              <w:jc w:val="both"/>
              <w:rPr>
                <w:rFonts w:ascii="Arial" w:hAnsi="Arial" w:cs="Arial"/>
                <w:noProof/>
                <w:sz w:val="20"/>
                <w:szCs w:val="20"/>
              </w:rPr>
            </w:pPr>
          </w:p>
          <w:p w:rsidR="003D11CC" w:rsidRPr="000A2811"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0A2811">
              <w:rPr>
                <w:rStyle w:val="Strong"/>
                <w:rFonts w:ascii="Arial" w:hAnsi="Arial" w:cs="Arial"/>
                <w:i/>
                <w:iCs/>
                <w:sz w:val="20"/>
                <w:szCs w:val="20"/>
              </w:rPr>
              <w:t>Epidemiológia PV na Slovensku</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Style w:val="Strong"/>
                <w:rFonts w:ascii="Arial" w:hAnsi="Arial" w:cs="Arial"/>
                <w:sz w:val="20"/>
                <w:szCs w:val="20"/>
              </w:rPr>
              <w:t>Incidencia:</w:t>
            </w:r>
            <w:r w:rsidRPr="003D11CC">
              <w:rPr>
                <w:rFonts w:ascii="Arial" w:hAnsi="Arial" w:cs="Arial"/>
                <w:sz w:val="20"/>
                <w:szCs w:val="20"/>
              </w:rPr>
              <w:t xml:space="preserve"> Incidencia PV je 0,02-1,9/100 000 osôb na rok, muži sú postihnutí asi dvakrát viac ako ženy (3). Medián veku v čase stanovenia diagnózy predstavuje 60-65 r., približne 20% prípadov PV sa vyskytuje vo veku pod hranicou 40 rokov (4, 5). Na Slovensku registruje a publikuje údaje o počte novodiagnostikovaných pacientov s PV Národný onkologický register (NOR) SR vo svojich výročných publikáciách. Podľa dostupných publikácií sa PV prvýkrát samostatne registrovala v SR od r. 1994 (do tohto obdobia sa údaje nezbierali, resp. nemali podľa predchádzajúcej MKCH priradený samostatný kód). Počet novodiagnostikovaných prípadov PV osciloval (min. – max.) u žien v SR </w:t>
            </w:r>
            <w:r w:rsidR="001A5F48">
              <w:rPr>
                <w:rFonts w:ascii="Arial" w:hAnsi="Arial" w:cs="Arial"/>
                <w:sz w:val="20"/>
                <w:szCs w:val="20"/>
              </w:rPr>
              <w:br/>
            </w:r>
            <w:r w:rsidRPr="003D11CC">
              <w:rPr>
                <w:rFonts w:ascii="Arial" w:hAnsi="Arial" w:cs="Arial"/>
                <w:sz w:val="20"/>
                <w:szCs w:val="20"/>
              </w:rPr>
              <w:t xml:space="preserve">v r. 1994-2006 medzi 4-17 ochoreniami ročne, rozpätie štandardizovanej incidencie (na svetovú populáciu – ASR-W) tak predstavovalo (min. – max.) 0,17-0,31/100 000. Od r. 2007 až po posledný štatisticky uzatvorený a publikovaný r. 2010 sa však v SR neregistroval ani jeden prípad ochorenia PV u žien. Posledný nenulový údaj o incidencii PV je z r. 2006 a predstavuje n=10 prípadov u žien (ASR-W incidencia 0,19/100 000). Podobná situácia sa zaznamenáva aj u mužov: Počet novodiagnostikovaných prípadov PV osciloval (min. – max.) u mužov v SR v r. 1994-2006 medzi 9-19 ochoreniami ročne, rozpätie štandardizovanej incidencie (na svetovú štandardnú populáciu – ASR-W) predstavovalo (min. – max.) 0,32-0,64/100 000.Od r. 2007 až po posledný štatisticky uzatvorený a publikovaný r. 2010 sa v SR neregistroval ani jeden prípad ochorenia PV u mužov. Posledný nenulový údaj o incidencii je tak z r. 2006 a predstavuje n=12 prípadov (ASR-W 0,36/100 000) (6). Predpokladanou príčinou tohto stavu je preklasifikovanie PV do skupiny zhubných nádorov v NOR SR (z ochorení, ktoré boli predtým klasifikované ako nádory neistej biologickej dignity), tzn. priradenie nového kódu podľa MKCH (C96.7, tzn. iný zhubný nádor lymfatického, hematopoetického a príbuzného tkaniva, bližšie určený, namiesto pôvodného jednoznačne identifikovateľného kódu D45). Napriek tomu, že PV sa v tretej revízii Medzinárodného katalógu onkologických chorôb priradila k zhubným nádorom, podľa platných smerníc sa pri kódovaní „topografie“ má aj naďalej používať priradený MKCH kód D45. Zmena priradenia kódu je vyhradená pre revízny proces k Medzinárodnej klasifikácii chorôb 11. Táto nesprávna zmena v kódovaní ochorenia národným registračným systémom spôsobuje nemožnosť identifikácie počtov novodiagnostikovaných ochorení v SR po r. </w:t>
            </w:r>
            <w:r w:rsidRPr="003D11CC">
              <w:rPr>
                <w:rFonts w:ascii="Arial" w:hAnsi="Arial" w:cs="Arial"/>
                <w:sz w:val="20"/>
                <w:szCs w:val="20"/>
              </w:rPr>
              <w:lastRenderedPageBreak/>
              <w:t>2007, a tak nie sú možné predikcie ochorenia do aktuálneho obdobia. Zároveň sú posledné publikované nenulové údaje o ochorení obsolentné a nereprezentujú aktuálne trendy v incidencii PV.</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Style w:val="Strong"/>
                <w:rFonts w:ascii="Arial" w:hAnsi="Arial" w:cs="Arial"/>
                <w:sz w:val="20"/>
                <w:szCs w:val="20"/>
              </w:rPr>
              <w:t>Mortalita:</w:t>
            </w:r>
            <w:r w:rsidRPr="003D11CC">
              <w:rPr>
                <w:rFonts w:ascii="Arial" w:hAnsi="Arial" w:cs="Arial"/>
                <w:sz w:val="20"/>
                <w:szCs w:val="20"/>
              </w:rPr>
              <w:t> Údaje o počte zomretých pacientov s PV poskytuje Štatistický úrad (ŠÚ) SR vo svojich výročných publikáciách. Podľa dostupných publikácií sa r</w:t>
            </w:r>
            <w:r w:rsidR="006B67BC">
              <w:rPr>
                <w:rFonts w:ascii="Arial" w:hAnsi="Arial" w:cs="Arial"/>
                <w:sz w:val="20"/>
                <w:szCs w:val="20"/>
              </w:rPr>
              <w:t>egistrujú len ojedinelé počty (</w:t>
            </w:r>
            <w:r w:rsidRPr="003D11CC">
              <w:rPr>
                <w:rFonts w:ascii="Arial" w:hAnsi="Arial" w:cs="Arial"/>
                <w:sz w:val="20"/>
                <w:szCs w:val="20"/>
              </w:rPr>
              <w:t>min.-max.=1-2) zomretých pacientov na PV, čo je v súlade s biologickou povahou samotného ochorenia. Pacienti, ktorí zomrú s PV, majú na Listoch o prehliadke mŕtveho ako príčinu úmrtia uvádzanú inú diagnózu, ktorá je základným ochorením vedúcim k smrti. Táto informácia sa vo výstupoch ŠÚ SR pri PV neobjavuje (tzn. PV nevedie k smrti pacienta). NOR SR nepublikuje údaje o tzv. „cancer specific“ úmrtiach, tzn. nie je možné zistiť, aký podiel pacientov s PV zomrel. U žien v SR bol posledný nenulový údaj o mortalite na ochorenie v r. 2014 a predstavuje n=1 prípad ochorenia (ASR-W mortalita 0,02/100 000). U mužov v SR bol posledný nenulový údaj o mortalite na ochorenie v z r. 2015 a predstavuje n=1 prípad ochorenia (ASR-W mortalita 0,016/100 000). Vďaka nulovým početnostiam úmrtí vo väčšine rokov u oboch pohlaví nie je možné odhadovať vývoj dát do aktuálneho r. 2018 (7).</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Style w:val="Strong"/>
                <w:rFonts w:ascii="Arial" w:hAnsi="Arial" w:cs="Arial"/>
                <w:sz w:val="20"/>
                <w:szCs w:val="20"/>
              </w:rPr>
              <w:t>Prevalencia:</w:t>
            </w:r>
            <w:r w:rsidRPr="003D11CC">
              <w:rPr>
                <w:rFonts w:ascii="Arial" w:hAnsi="Arial" w:cs="Arial"/>
                <w:sz w:val="20"/>
                <w:szCs w:val="20"/>
              </w:rPr>
              <w:t> NOR SR nepublikuje údaje o celkovom počte všetkých žijúcich pacientov s PV. Odhad počtu všetkých dispenzarizovaných pacientov s PV je možné modelovať z dostupných údajov o incidencii a mortalite na dané ochorenie, avšak vďaka chybným (podhodnoteným) vstupným dátam je výstup významne podhodnotený a nereálny. Podľa údajov z NOR SR a ŠÚ SR predstavuje odhad prevalencie PV v SR n=202 prežívajúcich pacientov (spolu muži+ženy) v r. 2010. Nakoľko však nebolo možné predikovať vstupné parametre (incidencia, mortalita) do modelu až do roku 2018, tak ani prevalenciu nie je možné z týchto dát korektne predikovať a preto výsledná analýza nereprezentuje skutočné počty chorých v SR.</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K dispozícii sú v SR ešte údaje o počte dispenzarizovaných pacientov s diagnózou PV a ročných výkazov ambulantných činností. Nakoľko však ide o sumárne nahlasovanie početností pacientov jednotlivými hematologickými ambulanciami, nie je možné z týchto čísel vylúčiť duplicity, ktoré môžu byť spôsobené napr. tým, že pacient bol v priebehu jedného roka vyšetrený na viacerých hematologických ambulanciách. Zároveň nie je hlásna disciplína do výkazov 100% a nejde o zber neštruktúrovaných dát. Z tohto dôvodu sa pristúpilo k vyžiadaniu dát o početnostiach pacientov s PV evidovaných vo všetkých troch zdravotných poisťovniach (ZP) v SR (8). ZP zasielajú anonymizované dáta o uhradenej zdravotnej starostlivosti do Národného zdravotníckeho informačného systému (NCZI), vďaka čomu si vie následne MZ SR robiť rôzne štatistické zostavy pre tvorbu stratégií a realizáciu projektov. Inštitút zdravotnej politiky (IZP) publikoval na stránke MZ SR prehľad celkových platieb poisťovní za ambulantnú, ústavnú starostlivosť a lieky v rozdelení podľa rokov 2015 a 2016, v neštruktúrovanej forme a podľa diagnóz a vekových skupín pacientov. Zo zverejnených údajov však nie je možné získať informáciu o počte novodiagnostikovaných pacientov. V poslednom zverejnenom roku 2016 sa v SR hospitalizovalo 23 pacientov s PV. Počet unikátnych liečených pacientov (tzn. každý pacient bol pri jednom liečive zarátaný do početností práve raz) s PV, bez ohľadu na to, aký liek im bol vydaný, predstavoval v r. 2016 n=1255 chorých. Z tohto počtu dostávalo antiagregačnú liečbu n=865 chorých, onkologiká (vrátane liekov na mimoriadny dovoz) boli podané n=985 unikátnym pacientom. Medzi jednotlivými skupinami liekov aj v rámci jednej skupiny medzi dvomi a viacerými liekmi (napr. pri „switch-och“ v terapii) sa pacient započítava zakaždým, tzn. každý z pacientov užívajúcich antiagreganciá môže (a nemusí) zároveň dostávať onkologiká a pod. Z tohto dôvodu sa v predkladanom štatistickom zisťovaní za prevalenciu PV konzervatívne považuje najvyšší počet všetkých unikátnych pacientov v SR, ktorí dostávajú akúkoľvek liečbu, tzn. n=1255 chorých v r. 2016. Nakoľko pre chýbajúce národné zdrojové dáta nie je možné odhadovať epidemiologické ukazovatele, považuje sa tento počet pacientov zverejnený MZ SR za aktuálne platný.</w:t>
            </w:r>
          </w:p>
          <w:p w:rsidR="003D11CC" w:rsidRPr="000A2811"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0A2811">
              <w:rPr>
                <w:rStyle w:val="Strong"/>
                <w:rFonts w:ascii="Arial" w:hAnsi="Arial" w:cs="Arial"/>
                <w:i/>
                <w:iCs/>
                <w:sz w:val="20"/>
                <w:szCs w:val="20"/>
              </w:rPr>
              <w:t>Vybraná špecifická liečba pacientov s PV</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Podľa dát MZ SR (8) v r. 2016 užívalo v SR 737 chorých hydroxyureu, 200 pacientov interferón, 28 chorých anagrelid, 1 pacient IMiD-y a zvyšní chorí dostávali inú liečbu. Tento dátový súbor nezohľadňuje prípadné „switch-e“, tzn. ak pacient napr. v jednom roku dostal hydroxyureu, a zároveň interferón (vtedy sa takýto pacient objavuje v počtoch dvakrát). Ruxolitinibom bolo v r. 2016 liečených 6 pacientov.</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 xml:space="preserve">Podľa platnej indikácie z SPC je liečivo ruxolitinib indikované na liečbu pacientov s PV, ktorí majú intoleranciu alebo sú rezistentní na hydroxyureu. Vzhľadom na to, že údaje o celkovom počte pacientov intolerantných/rezistentných na HU nie sú k dispozícii v žiadnom národnom databázovom systéme, realizovala sa kvantitatívna deskriptívna štúdia na všetkých hemato-onkologických centrách v SR. Cieľom štúdie bolo overiť počty liečených pacientov podľa údajov MZ SR a zároveň </w:t>
            </w:r>
            <w:r w:rsidRPr="003D11CC">
              <w:rPr>
                <w:rFonts w:ascii="Arial" w:hAnsi="Arial" w:cs="Arial"/>
                <w:sz w:val="20"/>
                <w:szCs w:val="20"/>
              </w:rPr>
              <w:lastRenderedPageBreak/>
              <w:t>identifikovať podiel chorých, ktorí v rámci jedného roka dostávajú viac ako jednu špecifickú terapiu a podiel tých pacientov, ktorí majú známu intoleranciu alebo rezistenciu na hydroxyureu.</w:t>
            </w:r>
          </w:p>
          <w:p w:rsidR="003D11CC" w:rsidRPr="000A2811"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0A2811">
              <w:rPr>
                <w:rStyle w:val="Strong"/>
                <w:rFonts w:ascii="Arial" w:hAnsi="Arial" w:cs="Arial"/>
                <w:i/>
                <w:iCs/>
                <w:sz w:val="20"/>
                <w:szCs w:val="20"/>
              </w:rPr>
              <w:t>Materiál a metódy</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Prierezová deskriptívna štúdia sa realizovala z dát o pacientoch so stanovenou diagnózou PV, ktorí boli registrovaní v databázach desiatich ošetrujúcich lekárov na najväčších hemato-onkologických centrách v SR. Do štúdie sa zapojili nasledovné pracoviská:</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1. Hematologické oddelenie, Fakultná nemocnica s poliklinikou F. D. Roosvelta, Banská Bystrica (2 respondenti)</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2. Klinika hematológie a transfúziológie LF UK a UNB, Nemocnica sv. Cyrila a Metoda, Bratislava (2 respondenti)</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3. Klinika hematológie a transfuziológie, Jesseniova lekárska fakulta v Martine, Univerzita Komenského v Bratislave a Univerzitná nemocnica Martin (2 respondenti)</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4. Hematologická ambulancia, Fakultná nemocnica, Trenčín (1 respondent)</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5. Klinika hematológie a onkohematológie, Univerzitná nemocnica L. Pasteura, Košice (2 respondenti)</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6. Hematologická ambulancia, Fakultná nemocnica s poliklinikou, Nitra (1 respondent)</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Štúdia vychádzala zo sumárnych údajov o počtoch pacientov, ktoré sú štandardne dokumentované v nemocničných databázach jednotlivých centier a ktoré sa dajú získať anonymizovaným výstupom z databáz, bez potreby nazerania do individuálnych zdravotných záznamov pacientov. Do projektu sa zapojili vybraní pracovníci hemato-onkologických centier, ktorí vyplnili za svoje pracovisko anonymizovaný štruktúrovaný pracovný list (bez možnosti identifikácie jedinca) o počte všetkých pacientov s PV, ktorých mali vo svojom dispenzári ku koncu r. 2017. Po vyzbieraní všetkých údajov sa výsledky následne analyzovali pomocou štandardných metód deskriptívnej štatistiky, kvalitatívne premenné sa sumarizovali vo frekvenčných tabuľkách. Výsledky sa validovali na spoločnom stretnutí všetkých odborníkov.</w:t>
            </w:r>
          </w:p>
          <w:p w:rsidR="003D11CC" w:rsidRPr="000A2811"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0A2811">
              <w:rPr>
                <w:rStyle w:val="Strong"/>
                <w:rFonts w:ascii="Arial" w:hAnsi="Arial" w:cs="Arial"/>
                <w:i/>
                <w:iCs/>
                <w:sz w:val="20"/>
                <w:szCs w:val="20"/>
              </w:rPr>
              <w:t>Výsledky</w:t>
            </w:r>
          </w:p>
          <w:p w:rsidR="003D11CC" w:rsidRP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 xml:space="preserve">Na pracoviskách hemato-onkológov sa v rámci databázovej štúdie vyzbierali údaje o 237 chorých </w:t>
            </w:r>
            <w:r w:rsidR="00233BA5">
              <w:rPr>
                <w:rFonts w:ascii="Arial" w:hAnsi="Arial" w:cs="Arial"/>
                <w:sz w:val="20"/>
                <w:szCs w:val="20"/>
              </w:rPr>
              <w:br/>
            </w:r>
            <w:r w:rsidRPr="003D11CC">
              <w:rPr>
                <w:rFonts w:ascii="Arial" w:hAnsi="Arial" w:cs="Arial"/>
                <w:sz w:val="20"/>
                <w:szCs w:val="20"/>
              </w:rPr>
              <w:t xml:space="preserve">s PV. Z tohto počtu sa identifikovali chorí, ktorí v rámci jedného roka dostanú viac ako jednu líniu špecifickej (onkologickej) liečby. Tento podiel predstavuje 9,82% chorých a údaj sa použil vo výpočte cieľovej populácie pre zníženie celkového počtu pacientov liečených hydroxyureou na reálnych dátach MZ SR, nakoľko v tomto databázovom zápise by inak predstavoval navýšenie absolútnych početností. Zároveň sa u respondentov zisťoval počet chorých, ktorí dostali v rámci liečby hydroxyureu (bez ohľadu na líniu liečby) a boli na ňu rezistentní, resp. ju netolerovali. Tento podiel predstavoval na pracoviskách špecialistov 14,45%. </w:t>
            </w:r>
            <w:r w:rsidRPr="007B7686">
              <w:rPr>
                <w:rFonts w:ascii="Arial" w:hAnsi="Arial" w:cs="Arial"/>
                <w:b/>
                <w:bCs/>
                <w:sz w:val="20"/>
                <w:szCs w:val="20"/>
              </w:rPr>
              <w:t xml:space="preserve">Po zohľadnení všetkých národných dát </w:t>
            </w:r>
            <w:r w:rsidR="00233BA5">
              <w:rPr>
                <w:rFonts w:ascii="Arial" w:hAnsi="Arial" w:cs="Arial"/>
                <w:b/>
                <w:bCs/>
                <w:sz w:val="20"/>
                <w:szCs w:val="20"/>
              </w:rPr>
              <w:br/>
            </w:r>
            <w:r w:rsidRPr="007B7686">
              <w:rPr>
                <w:rFonts w:ascii="Arial" w:hAnsi="Arial" w:cs="Arial"/>
                <w:b/>
                <w:bCs/>
                <w:sz w:val="20"/>
                <w:szCs w:val="20"/>
              </w:rPr>
              <w:t>o prevalencii pacientov s PV, spôsobu špecifickej liečby a podielu terapeutických „switch-ov“ a pacientov intolerantných/rezistentných na hydroxyureu predstavuje cieľová populácia, ktorá spĺňa indikáciu na liečbu ruxolitinibom, maximálne 96 pacientov (obr. 1, v prílohe).</w:t>
            </w:r>
            <w:r w:rsidRPr="003D11CC">
              <w:rPr>
                <w:rFonts w:ascii="Arial" w:hAnsi="Arial" w:cs="Arial"/>
                <w:sz w:val="20"/>
                <w:szCs w:val="20"/>
              </w:rPr>
              <w:t xml:space="preserve"> Tento počet pacientov je maximalistický, reálne sa predpokladá podstatne nižší podiel chorých liečených ruxolitinibom, čo potvrdzuje aj spotreba liečiva v r. 2016 (n=6 pacientov). Nadhodnotené údaje sú ovplyvnené tým, že do výpočtu sa prevzal počet všetkých liečených pacientov s PV v SR, a to bez ohľadu na predpísané liečivo a pri súčasnom započítaní pacientov vo všetkých „switch-och“. Zároveň sa pri databázovej štúdii z hemato-onkologických centier zistil pomerne vysoký podiel pacientov rezistentných na hydroxyureu (14,45%), čo však špecialisti odôvodnili práve tým, že v týchto centrách sa kumulujú pacienti so závažnejším zdravotným stavom a podiel týchto pacientov v rámci celej SR je pravdepodobne nižší. Všetky prepočty sú robené na populáciu celej SR, nie na populáciu pacientov z centier, ktorá je nižšia (n=237 evidovaných chorých v centrách vs n=1255 prevalentných chorých v SR.)</w:t>
            </w:r>
          </w:p>
          <w:p w:rsidR="003D11CC" w:rsidRPr="000A2811"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0A2811">
              <w:rPr>
                <w:rStyle w:val="Strong"/>
                <w:rFonts w:ascii="Arial" w:hAnsi="Arial" w:cs="Arial"/>
                <w:i/>
                <w:iCs/>
                <w:sz w:val="20"/>
                <w:szCs w:val="20"/>
              </w:rPr>
              <w:t>Záver</w:t>
            </w:r>
          </w:p>
          <w:p w:rsidR="003D11CC" w:rsidRDefault="003D11CC" w:rsidP="003D11CC">
            <w:pPr>
              <w:pStyle w:val="NormalWeb"/>
              <w:shd w:val="clear" w:color="auto" w:fill="FFFFFF"/>
              <w:spacing w:before="30" w:beforeAutospacing="0" w:after="120" w:afterAutospacing="0"/>
              <w:jc w:val="both"/>
              <w:rPr>
                <w:rFonts w:ascii="Arial" w:hAnsi="Arial" w:cs="Arial"/>
                <w:sz w:val="20"/>
                <w:szCs w:val="20"/>
              </w:rPr>
            </w:pPr>
            <w:r w:rsidRPr="003D11CC">
              <w:rPr>
                <w:rFonts w:ascii="Arial" w:hAnsi="Arial" w:cs="Arial"/>
                <w:sz w:val="20"/>
                <w:szCs w:val="20"/>
              </w:rPr>
              <w:t>Predkladané analýzy poskytujú ucelené spracované informácie zo všetkých dostupných národných databázových systémov o veľkosti prevalentnej a liečenej populácie pacientov s PV a zároveň nadstavbovou deskriptívnou štúdiou na špecializovaných pracoviskách dopĺňajú informácie o počte pacientov vhodných na liečbu ruxolitinibom.</w:t>
            </w:r>
          </w:p>
          <w:p w:rsidR="00F3138B" w:rsidRDefault="00F3138B" w:rsidP="003D11CC">
            <w:pPr>
              <w:pStyle w:val="NormalWeb"/>
              <w:shd w:val="clear" w:color="auto" w:fill="FFFFFF"/>
              <w:spacing w:before="30" w:beforeAutospacing="0" w:after="120" w:afterAutospacing="0"/>
              <w:jc w:val="both"/>
              <w:rPr>
                <w:rFonts w:ascii="Arial" w:hAnsi="Arial" w:cs="Arial"/>
                <w:sz w:val="20"/>
                <w:szCs w:val="20"/>
              </w:rPr>
            </w:pPr>
          </w:p>
          <w:p w:rsidR="00F3138B" w:rsidRPr="00670E15" w:rsidRDefault="00F3138B" w:rsidP="001B0831">
            <w:pPr>
              <w:jc w:val="both"/>
              <w:rPr>
                <w:rFonts w:ascii="Arial" w:hAnsi="Arial" w:cs="Arial"/>
                <w:sz w:val="20"/>
                <w:szCs w:val="20"/>
              </w:rPr>
            </w:pPr>
            <w:r>
              <w:rPr>
                <w:rFonts w:ascii="Arial" w:hAnsi="Arial" w:cs="Arial"/>
                <w:sz w:val="20"/>
                <w:szCs w:val="20"/>
              </w:rPr>
              <w:lastRenderedPageBreak/>
              <w:t xml:space="preserve">Vyššie uvedené epidemiologické informácie boli publikované autormi </w:t>
            </w:r>
            <w:r w:rsidRPr="00F3138B">
              <w:rPr>
                <w:rFonts w:ascii="Arial" w:hAnsi="Arial" w:cs="Arial"/>
                <w:sz w:val="20"/>
                <w:szCs w:val="20"/>
              </w:rPr>
              <w:t>Doc. RNDr. Martina Ondrušová, PhD., MPH</w:t>
            </w:r>
            <w:r>
              <w:rPr>
                <w:rFonts w:ascii="Arial" w:hAnsi="Arial" w:cs="Arial"/>
                <w:sz w:val="20"/>
                <w:szCs w:val="20"/>
              </w:rPr>
              <w:t xml:space="preserve"> (</w:t>
            </w:r>
            <w:r w:rsidRPr="00F3138B">
              <w:rPr>
                <w:rFonts w:ascii="Arial" w:hAnsi="Arial" w:cs="Arial"/>
                <w:sz w:val="20"/>
                <w:szCs w:val="20"/>
              </w:rPr>
              <w:t>Pharm-In, spol. s r. o., Bratislava</w:t>
            </w:r>
            <w:r>
              <w:rPr>
                <w:rFonts w:ascii="Arial" w:hAnsi="Arial" w:cs="Arial"/>
                <w:sz w:val="20"/>
                <w:szCs w:val="20"/>
              </w:rPr>
              <w:t>) a </w:t>
            </w:r>
            <w:r w:rsidRPr="00F3138B">
              <w:rPr>
                <w:rFonts w:ascii="Arial" w:hAnsi="Arial" w:cs="Arial"/>
                <w:sz w:val="20"/>
                <w:szCs w:val="20"/>
              </w:rPr>
              <w:t>MUDr. Juraj Chudej, PhD.</w:t>
            </w:r>
            <w:r>
              <w:rPr>
                <w:rFonts w:ascii="Arial" w:hAnsi="Arial" w:cs="Arial"/>
                <w:sz w:val="20"/>
                <w:szCs w:val="20"/>
              </w:rPr>
              <w:t xml:space="preserve"> (</w:t>
            </w:r>
            <w:r w:rsidRPr="00F3138B">
              <w:rPr>
                <w:rFonts w:ascii="Arial" w:hAnsi="Arial" w:cs="Arial"/>
                <w:sz w:val="20"/>
                <w:szCs w:val="20"/>
              </w:rPr>
              <w:t xml:space="preserve">Klinika hematológie a transfuziológie, Jesseniova lekárska fakulta v Martine, Univerzita Komenského </w:t>
            </w:r>
            <w:r w:rsidR="001B0831">
              <w:rPr>
                <w:rFonts w:ascii="Arial" w:hAnsi="Arial" w:cs="Arial"/>
                <w:sz w:val="20"/>
                <w:szCs w:val="20"/>
              </w:rPr>
              <w:br/>
            </w:r>
            <w:r w:rsidRPr="00F3138B">
              <w:rPr>
                <w:rFonts w:ascii="Arial" w:hAnsi="Arial" w:cs="Arial"/>
                <w:sz w:val="20"/>
                <w:szCs w:val="20"/>
              </w:rPr>
              <w:t>v Bratislave a Univerzitná nemocnica Martin</w:t>
            </w:r>
            <w:r>
              <w:rPr>
                <w:rFonts w:ascii="Arial" w:hAnsi="Arial" w:cs="Arial"/>
                <w:sz w:val="20"/>
                <w:szCs w:val="20"/>
              </w:rPr>
              <w:t xml:space="preserve">) vo forme článku s názvom </w:t>
            </w:r>
            <w:r w:rsidRPr="00F3138B">
              <w:rPr>
                <w:rFonts w:ascii="Arial" w:hAnsi="Arial" w:cs="Arial"/>
                <w:sz w:val="20"/>
                <w:szCs w:val="20"/>
              </w:rPr>
              <w:t>Polycytémia vera (pravá polycytémia). Štatistické zisťovanie v</w:t>
            </w:r>
            <w:r>
              <w:rPr>
                <w:rFonts w:ascii="Arial" w:hAnsi="Arial" w:cs="Arial"/>
                <w:sz w:val="20"/>
                <w:szCs w:val="20"/>
              </w:rPr>
              <w:t> </w:t>
            </w:r>
            <w:r w:rsidRPr="00F3138B">
              <w:rPr>
                <w:rFonts w:ascii="Arial" w:hAnsi="Arial" w:cs="Arial"/>
                <w:sz w:val="20"/>
                <w:szCs w:val="20"/>
              </w:rPr>
              <w:t>SR</w:t>
            </w:r>
            <w:r>
              <w:rPr>
                <w:rFonts w:ascii="Arial" w:hAnsi="Arial" w:cs="Arial"/>
                <w:sz w:val="20"/>
                <w:szCs w:val="20"/>
              </w:rPr>
              <w:t xml:space="preserve"> na nasledovnej internetovej adrese </w:t>
            </w:r>
            <w:hyperlink r:id="rId11" w:history="1">
              <w:r w:rsidRPr="00670E15">
                <w:rPr>
                  <w:rStyle w:val="Hyperlink"/>
                  <w:rFonts w:ascii="Arial" w:hAnsi="Arial" w:cs="Arial"/>
                  <w:sz w:val="20"/>
                  <w:szCs w:val="20"/>
                </w:rPr>
                <w:t>http://www.pharmin.sk/sk/studie-realnej-klinickej-praxe-2018-polycytemia-vera/</w:t>
              </w:r>
            </w:hyperlink>
            <w:r w:rsidRPr="00670E15">
              <w:rPr>
                <w:rFonts w:ascii="Arial" w:hAnsi="Arial" w:cs="Arial"/>
                <w:sz w:val="20"/>
                <w:szCs w:val="20"/>
              </w:rPr>
              <w:t>.</w:t>
            </w:r>
          </w:p>
          <w:p w:rsidR="001B0831" w:rsidRPr="00F3138B" w:rsidRDefault="001B0831" w:rsidP="006B67BC">
            <w:pPr>
              <w:jc w:val="both"/>
              <w:rPr>
                <w:rFonts w:ascii="Arial" w:hAnsi="Arial" w:cs="Arial"/>
                <w:sz w:val="20"/>
                <w:szCs w:val="20"/>
              </w:rPr>
            </w:pPr>
            <w:r w:rsidRPr="00670E15">
              <w:rPr>
                <w:rFonts w:ascii="Arial" w:hAnsi="Arial" w:cs="Arial"/>
                <w:sz w:val="20"/>
                <w:szCs w:val="20"/>
              </w:rPr>
              <w:t xml:space="preserve">V prílohe publikácie sa na obrázku č. 1 nachádza aj </w:t>
            </w:r>
            <w:r w:rsidRPr="00670E15">
              <w:rPr>
                <w:rFonts w:ascii="Arial" w:hAnsi="Arial" w:cs="Arial"/>
                <w:b/>
                <w:bCs/>
                <w:sz w:val="20"/>
                <w:szCs w:val="20"/>
              </w:rPr>
              <w:t>“Odhad podielu pacientov v rámci celej SR, ktorým by bol reálne podaný liek JAKAVI”, a to na úrovni 54 pacientov</w:t>
            </w:r>
            <w:r w:rsidR="006B67BC" w:rsidRPr="00670E15">
              <w:rPr>
                <w:rFonts w:ascii="Arial" w:hAnsi="Arial" w:cs="Arial"/>
                <w:b/>
                <w:bCs/>
                <w:sz w:val="20"/>
                <w:szCs w:val="20"/>
              </w:rPr>
              <w:t xml:space="preserve"> v diagnóze PV</w:t>
            </w:r>
            <w:r w:rsidRPr="00670E15">
              <w:rPr>
                <w:rFonts w:ascii="Arial" w:hAnsi="Arial" w:cs="Arial"/>
                <w:b/>
                <w:bCs/>
                <w:sz w:val="20"/>
                <w:szCs w:val="20"/>
              </w:rPr>
              <w:t>.</w:t>
            </w:r>
          </w:p>
          <w:p w:rsidR="00F3138B" w:rsidRDefault="00F3138B" w:rsidP="001B0831">
            <w:pPr>
              <w:pStyle w:val="NormalWeb"/>
              <w:shd w:val="clear" w:color="auto" w:fill="FFFFFF"/>
              <w:spacing w:before="30" w:beforeAutospacing="0" w:after="120" w:afterAutospacing="0"/>
              <w:jc w:val="both"/>
              <w:rPr>
                <w:rFonts w:ascii="Arial" w:hAnsi="Arial" w:cs="Arial"/>
                <w:sz w:val="20"/>
                <w:szCs w:val="20"/>
              </w:rPr>
            </w:pPr>
            <w:r>
              <w:rPr>
                <w:rFonts w:ascii="Arial" w:hAnsi="Arial" w:cs="Arial"/>
                <w:sz w:val="20"/>
                <w:szCs w:val="20"/>
              </w:rPr>
              <w:t xml:space="preserve"> </w:t>
            </w:r>
          </w:p>
          <w:p w:rsidR="00F3138B" w:rsidRDefault="00F3138B" w:rsidP="00233BA5">
            <w:pPr>
              <w:pStyle w:val="NormalWeb"/>
              <w:shd w:val="clear" w:color="auto" w:fill="FFFFFF"/>
              <w:spacing w:before="30" w:beforeAutospacing="0" w:after="120" w:afterAutospacing="0"/>
              <w:jc w:val="both"/>
              <w:rPr>
                <w:rFonts w:ascii="Arial" w:hAnsi="Arial" w:cs="Arial"/>
                <w:sz w:val="20"/>
                <w:szCs w:val="20"/>
              </w:rPr>
            </w:pPr>
            <w:r>
              <w:rPr>
                <w:rFonts w:ascii="Arial" w:hAnsi="Arial" w:cs="Arial"/>
                <w:sz w:val="20"/>
                <w:szCs w:val="20"/>
              </w:rPr>
              <w:t xml:space="preserve">Okrem týchto informácií sa </w:t>
            </w:r>
            <w:r w:rsidR="00D60406">
              <w:rPr>
                <w:rFonts w:ascii="Arial" w:hAnsi="Arial" w:cs="Arial"/>
                <w:sz w:val="20"/>
                <w:szCs w:val="20"/>
              </w:rPr>
              <w:t xml:space="preserve">na verifikáciu odhadu </w:t>
            </w:r>
            <w:r>
              <w:rPr>
                <w:rFonts w:ascii="Arial" w:hAnsi="Arial" w:cs="Arial"/>
                <w:sz w:val="20"/>
                <w:szCs w:val="20"/>
              </w:rPr>
              <w:t xml:space="preserve">použili aj </w:t>
            </w:r>
            <w:r w:rsidR="00233BA5">
              <w:rPr>
                <w:rFonts w:ascii="Arial" w:hAnsi="Arial" w:cs="Arial"/>
                <w:sz w:val="20"/>
                <w:szCs w:val="20"/>
              </w:rPr>
              <w:t xml:space="preserve">vyžiadané a </w:t>
            </w:r>
            <w:r>
              <w:rPr>
                <w:rFonts w:ascii="Arial" w:hAnsi="Arial" w:cs="Arial"/>
                <w:sz w:val="20"/>
                <w:szCs w:val="20"/>
              </w:rPr>
              <w:t>neštandardne spracované NCZI</w:t>
            </w:r>
            <w:r w:rsidR="00D60406">
              <w:rPr>
                <w:rFonts w:ascii="Arial" w:hAnsi="Arial" w:cs="Arial"/>
                <w:sz w:val="20"/>
                <w:szCs w:val="20"/>
              </w:rPr>
              <w:t xml:space="preserve"> údaje</w:t>
            </w:r>
            <w:r w:rsidR="00220F88">
              <w:rPr>
                <w:rFonts w:ascii="Arial" w:hAnsi="Arial" w:cs="Arial"/>
                <w:sz w:val="20"/>
                <w:szCs w:val="20"/>
              </w:rPr>
              <w:t xml:space="preserve"> </w:t>
            </w:r>
            <w:r w:rsidR="00044FCC" w:rsidRPr="00044FCC">
              <w:rPr>
                <w:rFonts w:ascii="Arial" w:hAnsi="Arial" w:cs="Arial"/>
                <w:sz w:val="20"/>
                <w:szCs w:val="20"/>
              </w:rPr>
              <w:t>o počte pacientov (jedinečných RČ) s dg. PV (D.45*) s liekmi zo skupín L01*, L03AB*a L04AX* za obdobie 10/2015 – 09/2016 a počte pacientov (jedinečných RČ) s dg. PV (D.45*) s liekmi zo skupín L01*, L03AB*a L04AX* za obdobie 10/2016 – 09/2017</w:t>
            </w:r>
            <w:r w:rsidR="00220F88">
              <w:rPr>
                <w:rFonts w:ascii="Arial" w:hAnsi="Arial" w:cs="Arial"/>
                <w:sz w:val="20"/>
                <w:szCs w:val="20"/>
              </w:rPr>
              <w:t xml:space="preserve"> – viď tabuľka č. 1 a 2</w:t>
            </w:r>
            <w:r w:rsidR="00044FCC" w:rsidRPr="00044FCC">
              <w:rPr>
                <w:rFonts w:ascii="Arial" w:hAnsi="Arial" w:cs="Arial"/>
                <w:sz w:val="20"/>
                <w:szCs w:val="20"/>
              </w:rPr>
              <w:t>.</w:t>
            </w:r>
            <w:r w:rsidR="006777D6">
              <w:rPr>
                <w:rFonts w:ascii="Arial" w:hAnsi="Arial" w:cs="Arial"/>
                <w:sz w:val="20"/>
                <w:szCs w:val="20"/>
              </w:rPr>
              <w:t xml:space="preserve"> Údaje boli poskytnuté NCZI dňa </w:t>
            </w:r>
            <w:r w:rsidR="006777D6" w:rsidRPr="006777D6">
              <w:rPr>
                <w:rFonts w:ascii="Arial" w:hAnsi="Arial" w:cs="Arial"/>
                <w:sz w:val="20"/>
                <w:szCs w:val="20"/>
              </w:rPr>
              <w:t>21.3.2018</w:t>
            </w:r>
            <w:r w:rsidR="006777D6">
              <w:rPr>
                <w:rFonts w:ascii="Arial" w:hAnsi="Arial" w:cs="Arial"/>
                <w:i/>
                <w:iCs/>
                <w:sz w:val="20"/>
                <w:szCs w:val="20"/>
              </w:rPr>
              <w:t>.</w:t>
            </w:r>
          </w:p>
          <w:p w:rsidR="00220F88" w:rsidRDefault="00220F88" w:rsidP="00220F88">
            <w:pPr>
              <w:pStyle w:val="NormalWeb"/>
              <w:shd w:val="clear" w:color="auto" w:fill="FFFFFF"/>
              <w:spacing w:before="30" w:beforeAutospacing="0" w:after="120" w:afterAutospacing="0"/>
              <w:jc w:val="both"/>
              <w:rPr>
                <w:rFonts w:ascii="Arial" w:hAnsi="Arial" w:cs="Arial"/>
                <w:sz w:val="20"/>
                <w:szCs w:val="20"/>
              </w:rPr>
            </w:pPr>
          </w:p>
          <w:p w:rsidR="00044FCC" w:rsidRDefault="00220F88" w:rsidP="00F3138B">
            <w:pPr>
              <w:pStyle w:val="NormalWeb"/>
              <w:shd w:val="clear" w:color="auto" w:fill="FFFFFF"/>
              <w:spacing w:before="30" w:beforeAutospacing="0" w:after="120" w:afterAutospacing="0"/>
              <w:jc w:val="both"/>
              <w:rPr>
                <w:rFonts w:ascii="Arial" w:hAnsi="Arial" w:cs="Arial"/>
                <w:sz w:val="20"/>
                <w:szCs w:val="20"/>
              </w:rPr>
            </w:pPr>
            <w:r w:rsidRPr="00220F88">
              <w:rPr>
                <w:rFonts w:ascii="Arial" w:hAnsi="Arial" w:cs="Arial"/>
                <w:sz w:val="20"/>
                <w:szCs w:val="20"/>
              </w:rPr>
              <w:t>Tabuľka 1 Počet pacientov (jedinečných RČ) s dg. PV (D.45*) s liekmi zo skupín L01*, L03AB*a L04AX* za obdobie 10/2015 – 09/2016</w:t>
            </w:r>
          </w:p>
          <w:tbl>
            <w:tblPr>
              <w:tblW w:w="6723" w:type="dxa"/>
              <w:tblCellMar>
                <w:left w:w="70" w:type="dxa"/>
                <w:right w:w="70" w:type="dxa"/>
              </w:tblCellMar>
              <w:tblLook w:val="04A0" w:firstRow="1" w:lastRow="0" w:firstColumn="1" w:lastColumn="0" w:noHBand="0" w:noVBand="1"/>
            </w:tblPr>
            <w:tblGrid>
              <w:gridCol w:w="1520"/>
              <w:gridCol w:w="407"/>
              <w:gridCol w:w="407"/>
              <w:gridCol w:w="407"/>
              <w:gridCol w:w="407"/>
              <w:gridCol w:w="407"/>
              <w:gridCol w:w="407"/>
              <w:gridCol w:w="407"/>
              <w:gridCol w:w="407"/>
              <w:gridCol w:w="407"/>
              <w:gridCol w:w="407"/>
              <w:gridCol w:w="407"/>
              <w:gridCol w:w="407"/>
              <w:gridCol w:w="585"/>
            </w:tblGrid>
            <w:tr w:rsidR="00044FCC" w:rsidRPr="00220F88" w:rsidTr="00044FCC">
              <w:trPr>
                <w:trHeight w:val="600"/>
              </w:trPr>
              <w:tc>
                <w:tcPr>
                  <w:tcW w:w="1520" w:type="dxa"/>
                  <w:vMerge w:val="restart"/>
                  <w:tcBorders>
                    <w:top w:val="single" w:sz="8" w:space="0" w:color="auto"/>
                    <w:left w:val="single" w:sz="8" w:space="0" w:color="auto"/>
                    <w:bottom w:val="double" w:sz="6" w:space="0" w:color="000000"/>
                    <w:right w:val="single" w:sz="4"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ATC kód</w:t>
                  </w:r>
                </w:p>
              </w:tc>
              <w:tc>
                <w:tcPr>
                  <w:tcW w:w="4800" w:type="dxa"/>
                  <w:gridSpan w:val="12"/>
                  <w:tcBorders>
                    <w:top w:val="single" w:sz="8" w:space="0" w:color="auto"/>
                    <w:left w:val="single" w:sz="4" w:space="0" w:color="auto"/>
                    <w:bottom w:val="single" w:sz="4" w:space="0" w:color="auto"/>
                    <w:right w:val="single" w:sz="4"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Obdobie</w:t>
                  </w:r>
                </w:p>
              </w:tc>
              <w:tc>
                <w:tcPr>
                  <w:tcW w:w="403" w:type="dxa"/>
                  <w:vMerge w:val="restart"/>
                  <w:tcBorders>
                    <w:top w:val="single" w:sz="8" w:space="0" w:color="auto"/>
                    <w:left w:val="single" w:sz="4" w:space="0" w:color="auto"/>
                    <w:bottom w:val="double" w:sz="6" w:space="0" w:color="000000"/>
                    <w:right w:val="single" w:sz="8"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Spolu</w:t>
                  </w:r>
                </w:p>
              </w:tc>
            </w:tr>
            <w:tr w:rsidR="00220F88" w:rsidRPr="00220F88" w:rsidTr="00044FCC">
              <w:trPr>
                <w:trHeight w:val="708"/>
              </w:trPr>
              <w:tc>
                <w:tcPr>
                  <w:tcW w:w="1520" w:type="dxa"/>
                  <w:vMerge/>
                  <w:tcBorders>
                    <w:top w:val="single" w:sz="8" w:space="0" w:color="auto"/>
                    <w:left w:val="single" w:sz="8" w:space="0" w:color="auto"/>
                    <w:bottom w:val="double" w:sz="6" w:space="0" w:color="000000"/>
                    <w:right w:val="single" w:sz="4" w:space="0" w:color="auto"/>
                  </w:tcBorders>
                  <w:vAlign w:val="center"/>
                  <w:hideMark/>
                </w:tcPr>
                <w:p w:rsidR="00044FCC" w:rsidRPr="00220F88" w:rsidRDefault="00044FCC" w:rsidP="00044FCC">
                  <w:pPr>
                    <w:rPr>
                      <w:rFonts w:asciiTheme="minorBidi" w:hAnsiTheme="minorBidi" w:cstheme="minorBidi"/>
                      <w:b/>
                      <w:bCs/>
                      <w:color w:val="000000"/>
                      <w:sz w:val="16"/>
                      <w:szCs w:val="16"/>
                    </w:rPr>
                  </w:pP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10/2015</w:t>
                  </w:r>
                </w:p>
              </w:tc>
              <w:tc>
                <w:tcPr>
                  <w:tcW w:w="400"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11/2015</w:t>
                  </w: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12/2015</w:t>
                  </w:r>
                </w:p>
              </w:tc>
              <w:tc>
                <w:tcPr>
                  <w:tcW w:w="400"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01/2016</w:t>
                  </w: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02/2016</w:t>
                  </w:r>
                </w:p>
              </w:tc>
              <w:tc>
                <w:tcPr>
                  <w:tcW w:w="400"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03/2016</w:t>
                  </w: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04/2016</w:t>
                  </w:r>
                </w:p>
              </w:tc>
              <w:tc>
                <w:tcPr>
                  <w:tcW w:w="400"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05/2016</w:t>
                  </w: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06/2016</w:t>
                  </w:r>
                </w:p>
              </w:tc>
              <w:tc>
                <w:tcPr>
                  <w:tcW w:w="400"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07/2016</w:t>
                  </w:r>
                </w:p>
              </w:tc>
              <w:tc>
                <w:tcPr>
                  <w:tcW w:w="400"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08/2016</w:t>
                  </w:r>
                </w:p>
              </w:tc>
              <w:tc>
                <w:tcPr>
                  <w:tcW w:w="400" w:type="dxa"/>
                  <w:tcBorders>
                    <w:top w:val="nil"/>
                    <w:left w:val="nil"/>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09/2016</w:t>
                  </w:r>
                </w:p>
              </w:tc>
              <w:tc>
                <w:tcPr>
                  <w:tcW w:w="403" w:type="dxa"/>
                  <w:vMerge/>
                  <w:tcBorders>
                    <w:top w:val="single" w:sz="8" w:space="0" w:color="auto"/>
                    <w:left w:val="single" w:sz="4" w:space="0" w:color="auto"/>
                    <w:bottom w:val="double" w:sz="6" w:space="0" w:color="000000"/>
                    <w:right w:val="single" w:sz="8" w:space="0" w:color="auto"/>
                  </w:tcBorders>
                  <w:vAlign w:val="center"/>
                  <w:hideMark/>
                </w:tcPr>
                <w:p w:rsidR="00044FCC" w:rsidRPr="00220F88" w:rsidRDefault="00044FCC" w:rsidP="00044FCC">
                  <w:pPr>
                    <w:rPr>
                      <w:rFonts w:asciiTheme="minorBidi" w:hAnsiTheme="minorBidi" w:cstheme="minorBidi"/>
                      <w:b/>
                      <w:bCs/>
                      <w:color w:val="000000"/>
                      <w:sz w:val="16"/>
                      <w:szCs w:val="16"/>
                    </w:rPr>
                  </w:pP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L01* (okrem L01XX05)</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9</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4</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18</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14</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16</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11</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13</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10</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13</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13</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14</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14</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43</w:t>
                  </w: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L01XX05</w:t>
                  </w:r>
                  <w:r w:rsidRPr="00220F88">
                    <w:rPr>
                      <w:rFonts w:asciiTheme="minorBidi" w:hAnsiTheme="minorBidi" w:cstheme="minorBidi"/>
                      <w:color w:val="000000"/>
                      <w:sz w:val="16"/>
                      <w:szCs w:val="16"/>
                      <w:vertAlign w:val="superscript"/>
                    </w:rPr>
                    <w:t>1</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206</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200</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212</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212</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174</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212</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218</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160</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234</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152</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220</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178</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731</w:t>
                  </w: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L03AB*</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78</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77</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86</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25</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88</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87</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82</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79</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92</w:t>
                  </w:r>
                </w:p>
              </w:tc>
              <w:tc>
                <w:tcPr>
                  <w:tcW w:w="400"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62</w:t>
                  </w:r>
                </w:p>
              </w:tc>
              <w:tc>
                <w:tcPr>
                  <w:tcW w:w="400"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81</w:t>
                  </w:r>
                </w:p>
              </w:tc>
              <w:tc>
                <w:tcPr>
                  <w:tcW w:w="40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100</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184</w:t>
                  </w:r>
                </w:p>
              </w:tc>
            </w:tr>
            <w:tr w:rsidR="00044FCC" w:rsidRPr="00220F88" w:rsidTr="006777D6">
              <w:trPr>
                <w:trHeight w:val="270"/>
              </w:trPr>
              <w:tc>
                <w:tcPr>
                  <w:tcW w:w="1520" w:type="dxa"/>
                  <w:tcBorders>
                    <w:top w:val="nil"/>
                    <w:left w:val="single" w:sz="8" w:space="0" w:color="auto"/>
                    <w:bottom w:val="single" w:sz="8" w:space="0" w:color="auto"/>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L04AX*</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0" w:type="dxa"/>
                  <w:tcBorders>
                    <w:top w:val="nil"/>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0" w:type="dxa"/>
                  <w:tcBorders>
                    <w:top w:val="nil"/>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w:t>
                  </w:r>
                </w:p>
              </w:tc>
              <w:tc>
                <w:tcPr>
                  <w:tcW w:w="400" w:type="dxa"/>
                  <w:tcBorders>
                    <w:top w:val="nil"/>
                    <w:left w:val="nil"/>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3" w:type="dxa"/>
                  <w:tcBorders>
                    <w:top w:val="nil"/>
                    <w:left w:val="nil"/>
                    <w:bottom w:val="single" w:sz="8" w:space="0" w:color="auto"/>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1</w:t>
                  </w:r>
                </w:p>
              </w:tc>
            </w:tr>
            <w:tr w:rsidR="00044FCC" w:rsidRPr="00220F88" w:rsidTr="00220F88">
              <w:trPr>
                <w:trHeight w:val="270"/>
              </w:trPr>
              <w:tc>
                <w:tcPr>
                  <w:tcW w:w="1520" w:type="dxa"/>
                  <w:tcBorders>
                    <w:top w:val="single" w:sz="8" w:space="0" w:color="auto"/>
                    <w:left w:val="single" w:sz="8" w:space="0" w:color="auto"/>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Spolu za kódy</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293</w:t>
                  </w:r>
                </w:p>
              </w:tc>
              <w:tc>
                <w:tcPr>
                  <w:tcW w:w="400" w:type="dxa"/>
                  <w:tcBorders>
                    <w:top w:val="single" w:sz="8" w:space="0" w:color="auto"/>
                    <w:left w:val="nil"/>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278</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309</w:t>
                  </w:r>
                </w:p>
              </w:tc>
              <w:tc>
                <w:tcPr>
                  <w:tcW w:w="400" w:type="dxa"/>
                  <w:tcBorders>
                    <w:top w:val="single" w:sz="8" w:space="0" w:color="auto"/>
                    <w:left w:val="nil"/>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250</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274</w:t>
                  </w:r>
                </w:p>
              </w:tc>
              <w:tc>
                <w:tcPr>
                  <w:tcW w:w="400" w:type="dxa"/>
                  <w:tcBorders>
                    <w:top w:val="single" w:sz="8" w:space="0" w:color="auto"/>
                    <w:left w:val="nil"/>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304</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308</w:t>
                  </w:r>
                </w:p>
              </w:tc>
              <w:tc>
                <w:tcPr>
                  <w:tcW w:w="400" w:type="dxa"/>
                  <w:tcBorders>
                    <w:top w:val="single" w:sz="8" w:space="0" w:color="auto"/>
                    <w:left w:val="nil"/>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240</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337</w:t>
                  </w:r>
                </w:p>
              </w:tc>
              <w:tc>
                <w:tcPr>
                  <w:tcW w:w="400" w:type="dxa"/>
                  <w:tcBorders>
                    <w:top w:val="single" w:sz="8" w:space="0" w:color="auto"/>
                    <w:left w:val="nil"/>
                    <w:bottom w:val="single" w:sz="12"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222</w:t>
                  </w:r>
                </w:p>
              </w:tc>
              <w:tc>
                <w:tcPr>
                  <w:tcW w:w="400" w:type="dxa"/>
                  <w:tcBorders>
                    <w:top w:val="single" w:sz="8" w:space="0" w:color="auto"/>
                    <w:left w:val="single" w:sz="4" w:space="0" w:color="auto"/>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309</w:t>
                  </w:r>
                </w:p>
              </w:tc>
              <w:tc>
                <w:tcPr>
                  <w:tcW w:w="400" w:type="dxa"/>
                  <w:tcBorders>
                    <w:top w:val="single" w:sz="8" w:space="0" w:color="auto"/>
                    <w:left w:val="nil"/>
                    <w:bottom w:val="single" w:sz="12"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285</w:t>
                  </w:r>
                </w:p>
              </w:tc>
              <w:tc>
                <w:tcPr>
                  <w:tcW w:w="403" w:type="dxa"/>
                  <w:tcBorders>
                    <w:top w:val="single" w:sz="8" w:space="0" w:color="auto"/>
                    <w:left w:val="nil"/>
                    <w:bottom w:val="single" w:sz="12" w:space="0" w:color="auto"/>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905</w:t>
                  </w:r>
                </w:p>
              </w:tc>
            </w:tr>
            <w:tr w:rsidR="00044FCC" w:rsidRPr="00220F88" w:rsidTr="00220F88">
              <w:trPr>
                <w:trHeight w:val="300"/>
              </w:trPr>
              <w:tc>
                <w:tcPr>
                  <w:tcW w:w="6723" w:type="dxa"/>
                  <w:gridSpan w:val="14"/>
                  <w:vMerge w:val="restart"/>
                  <w:tcBorders>
                    <w:top w:val="single" w:sz="12" w:space="0" w:color="auto"/>
                    <w:left w:val="nil"/>
                    <w:right w:val="nil"/>
                  </w:tcBorders>
                  <w:shd w:val="clear" w:color="auto" w:fill="auto"/>
                  <w:hideMark/>
                </w:tcPr>
                <w:p w:rsidR="00044FCC" w:rsidRPr="00220F88" w:rsidRDefault="00044FCC" w:rsidP="00044FCC">
                  <w:pPr>
                    <w:rPr>
                      <w:rFonts w:asciiTheme="minorBidi" w:hAnsiTheme="minorBidi" w:cstheme="minorBidi"/>
                      <w:i/>
                      <w:iCs/>
                      <w:color w:val="000000"/>
                      <w:sz w:val="12"/>
                      <w:szCs w:val="12"/>
                    </w:rPr>
                  </w:pPr>
                  <w:r w:rsidRPr="00220F88">
                    <w:rPr>
                      <w:rFonts w:asciiTheme="minorBidi" w:hAnsiTheme="minorBidi" w:cstheme="minorBidi"/>
                      <w:i/>
                      <w:iCs/>
                      <w:color w:val="000000"/>
                      <w:sz w:val="12"/>
                      <w:szCs w:val="12"/>
                      <w:vertAlign w:val="superscript"/>
                    </w:rPr>
                    <w:t>1</w:t>
                  </w:r>
                  <w:r w:rsidRPr="00220F88">
                    <w:rPr>
                      <w:rFonts w:asciiTheme="minorBidi" w:hAnsiTheme="minorBidi" w:cstheme="minorBidi"/>
                      <w:i/>
                      <w:iCs/>
                      <w:color w:val="000000"/>
                      <w:sz w:val="12"/>
                      <w:szCs w:val="12"/>
                    </w:rPr>
                    <w:t xml:space="preserve"> Zahŕňa kódy CL0133, CL0148 a CMD287</w:t>
                  </w:r>
                  <w:r w:rsidRPr="00220F88">
                    <w:rPr>
                      <w:rFonts w:asciiTheme="minorBidi" w:hAnsiTheme="minorBidi" w:cstheme="minorBidi"/>
                      <w:i/>
                      <w:iCs/>
                      <w:color w:val="000000"/>
                      <w:sz w:val="12"/>
                      <w:szCs w:val="12"/>
                    </w:rPr>
                    <w:br/>
                    <w:t>Pozn.: Zdrojom  sú údaje od zdravotných poisťovní zasielané do NCZI podľa § 15 ods. 6 zákona č. 581/2004 Z.z. o zdravotných poisťovniach, dohľade nad zdravotnou starostlivosťou a o zmene a doplnení niektorých zákonov v znení neskorších predpisov a v zmysle zákona č. 153/2013 Z.z.</w:t>
                  </w:r>
                </w:p>
                <w:p w:rsidR="00220F88" w:rsidRDefault="00220F88" w:rsidP="00044FCC">
                  <w:pPr>
                    <w:rPr>
                      <w:rFonts w:asciiTheme="minorBidi" w:hAnsiTheme="minorBidi" w:cstheme="minorBidi"/>
                      <w:i/>
                      <w:iCs/>
                      <w:color w:val="000000"/>
                      <w:sz w:val="12"/>
                      <w:szCs w:val="12"/>
                    </w:rPr>
                  </w:pPr>
                </w:p>
                <w:p w:rsidR="0045174A" w:rsidRDefault="0045174A" w:rsidP="00044FCC">
                  <w:pPr>
                    <w:rPr>
                      <w:rFonts w:asciiTheme="minorBidi" w:hAnsiTheme="minorBidi" w:cstheme="minorBidi"/>
                      <w:i/>
                      <w:iCs/>
                      <w:color w:val="000000"/>
                      <w:sz w:val="12"/>
                      <w:szCs w:val="12"/>
                    </w:rPr>
                  </w:pPr>
                </w:p>
                <w:p w:rsidR="0045174A" w:rsidRDefault="0045174A" w:rsidP="00044FCC">
                  <w:pPr>
                    <w:rPr>
                      <w:rFonts w:asciiTheme="minorBidi" w:hAnsiTheme="minorBidi" w:cstheme="minorBidi"/>
                      <w:i/>
                      <w:iCs/>
                      <w:color w:val="000000"/>
                      <w:sz w:val="12"/>
                      <w:szCs w:val="12"/>
                    </w:rPr>
                  </w:pPr>
                </w:p>
                <w:p w:rsidR="0045174A" w:rsidRPr="00220F88" w:rsidRDefault="0045174A" w:rsidP="00044FCC">
                  <w:pPr>
                    <w:rPr>
                      <w:rFonts w:asciiTheme="minorBidi" w:hAnsiTheme="minorBidi" w:cstheme="minorBidi"/>
                      <w:i/>
                      <w:iCs/>
                      <w:color w:val="000000"/>
                      <w:sz w:val="12"/>
                      <w:szCs w:val="12"/>
                    </w:rPr>
                  </w:pPr>
                </w:p>
                <w:p w:rsidR="00220F88" w:rsidRPr="00220F88" w:rsidRDefault="00220F88" w:rsidP="00044FCC">
                  <w:pPr>
                    <w:rPr>
                      <w:rFonts w:asciiTheme="minorBidi" w:hAnsiTheme="minorBidi" w:cstheme="minorBidi"/>
                      <w:i/>
                      <w:iCs/>
                      <w:color w:val="000000"/>
                      <w:sz w:val="12"/>
                      <w:szCs w:val="12"/>
                    </w:rPr>
                  </w:pPr>
                  <w:r w:rsidRPr="00220F88">
                    <w:rPr>
                      <w:rFonts w:asciiTheme="minorBidi" w:hAnsiTheme="minorBidi" w:cstheme="minorBidi"/>
                      <w:sz w:val="20"/>
                      <w:szCs w:val="20"/>
                    </w:rPr>
                    <w:t>Tabuľka 2 Počet pacientov (jedinečných RČ) s dg. PV (D.45*) s liekmi zo skupín L01*, L03AB*a L04AX* za obdobie 10/2016 – 09/2017</w:t>
                  </w:r>
                </w:p>
              </w:tc>
            </w:tr>
            <w:tr w:rsidR="00044FCC" w:rsidRPr="00220F88" w:rsidTr="006777D6">
              <w:trPr>
                <w:trHeight w:val="492"/>
              </w:trPr>
              <w:tc>
                <w:tcPr>
                  <w:tcW w:w="6723" w:type="dxa"/>
                  <w:gridSpan w:val="14"/>
                  <w:vMerge/>
                  <w:tcBorders>
                    <w:left w:val="nil"/>
                    <w:bottom w:val="single" w:sz="4" w:space="0" w:color="auto"/>
                    <w:right w:val="nil"/>
                  </w:tcBorders>
                  <w:vAlign w:val="center"/>
                  <w:hideMark/>
                </w:tcPr>
                <w:p w:rsidR="00044FCC" w:rsidRPr="00220F88" w:rsidRDefault="00044FCC" w:rsidP="00044FCC">
                  <w:pPr>
                    <w:rPr>
                      <w:rFonts w:asciiTheme="minorBidi" w:hAnsiTheme="minorBidi" w:cstheme="minorBidi"/>
                      <w:i/>
                      <w:iCs/>
                      <w:color w:val="000000"/>
                      <w:sz w:val="12"/>
                      <w:szCs w:val="12"/>
                    </w:rPr>
                  </w:pPr>
                </w:p>
              </w:tc>
            </w:tr>
            <w:tr w:rsidR="00044FCC" w:rsidRPr="00220F88" w:rsidTr="006777D6">
              <w:trPr>
                <w:trHeight w:val="600"/>
              </w:trPr>
              <w:tc>
                <w:tcPr>
                  <w:tcW w:w="1520" w:type="dxa"/>
                  <w:vMerge w:val="restart"/>
                  <w:tcBorders>
                    <w:top w:val="single" w:sz="4" w:space="0" w:color="auto"/>
                    <w:left w:val="single" w:sz="8" w:space="0" w:color="auto"/>
                    <w:bottom w:val="double" w:sz="6" w:space="0" w:color="000000"/>
                    <w:right w:val="single" w:sz="4"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ATC kód</w:t>
                  </w:r>
                </w:p>
              </w:tc>
              <w:tc>
                <w:tcPr>
                  <w:tcW w:w="4805" w:type="dxa"/>
                  <w:gridSpan w:val="12"/>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Obdobie</w:t>
                  </w:r>
                </w:p>
              </w:tc>
              <w:tc>
                <w:tcPr>
                  <w:tcW w:w="403" w:type="dxa"/>
                  <w:vMerge w:val="restart"/>
                  <w:tcBorders>
                    <w:top w:val="single" w:sz="4" w:space="0" w:color="auto"/>
                    <w:left w:val="single" w:sz="4" w:space="0" w:color="auto"/>
                    <w:bottom w:val="double" w:sz="6" w:space="0" w:color="000000"/>
                    <w:right w:val="single" w:sz="8" w:space="0" w:color="auto"/>
                  </w:tcBorders>
                  <w:shd w:val="clear" w:color="000000" w:fill="BFBFBF"/>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Spolu</w:t>
                  </w:r>
                </w:p>
              </w:tc>
            </w:tr>
            <w:tr w:rsidR="00220F88" w:rsidRPr="00220F88" w:rsidTr="00044FCC">
              <w:trPr>
                <w:trHeight w:val="708"/>
              </w:trPr>
              <w:tc>
                <w:tcPr>
                  <w:tcW w:w="1520" w:type="dxa"/>
                  <w:vMerge/>
                  <w:tcBorders>
                    <w:top w:val="single" w:sz="8" w:space="0" w:color="auto"/>
                    <w:left w:val="single" w:sz="8" w:space="0" w:color="auto"/>
                    <w:bottom w:val="double" w:sz="6" w:space="0" w:color="000000"/>
                    <w:right w:val="single" w:sz="4" w:space="0" w:color="auto"/>
                  </w:tcBorders>
                  <w:vAlign w:val="center"/>
                  <w:hideMark/>
                </w:tcPr>
                <w:p w:rsidR="00044FCC" w:rsidRPr="00220F88" w:rsidRDefault="00044FCC" w:rsidP="00044FCC">
                  <w:pPr>
                    <w:rPr>
                      <w:rFonts w:asciiTheme="minorBidi" w:hAnsiTheme="minorBidi" w:cstheme="minorBidi"/>
                      <w:b/>
                      <w:bCs/>
                      <w:color w:val="000000"/>
                      <w:sz w:val="16"/>
                      <w:szCs w:val="16"/>
                    </w:rPr>
                  </w:pP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10/2016</w:t>
                  </w:r>
                </w:p>
              </w:tc>
              <w:tc>
                <w:tcPr>
                  <w:tcW w:w="405"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11/2016</w:t>
                  </w: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12/2016</w:t>
                  </w:r>
                </w:p>
              </w:tc>
              <w:tc>
                <w:tcPr>
                  <w:tcW w:w="405"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01/2017</w:t>
                  </w: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02/2017</w:t>
                  </w:r>
                </w:p>
              </w:tc>
              <w:tc>
                <w:tcPr>
                  <w:tcW w:w="405"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03/2017</w:t>
                  </w: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04/2017</w:t>
                  </w:r>
                </w:p>
              </w:tc>
              <w:tc>
                <w:tcPr>
                  <w:tcW w:w="405"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05/2017</w:t>
                  </w: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06/2017</w:t>
                  </w:r>
                </w:p>
              </w:tc>
              <w:tc>
                <w:tcPr>
                  <w:tcW w:w="405" w:type="dxa"/>
                  <w:tcBorders>
                    <w:top w:val="nil"/>
                    <w:left w:val="nil"/>
                    <w:bottom w:val="double" w:sz="6" w:space="0" w:color="auto"/>
                    <w:right w:val="nil"/>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07/2017</w:t>
                  </w:r>
                </w:p>
              </w:tc>
              <w:tc>
                <w:tcPr>
                  <w:tcW w:w="405" w:type="dxa"/>
                  <w:tcBorders>
                    <w:top w:val="nil"/>
                    <w:left w:val="single" w:sz="4" w:space="0" w:color="auto"/>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08/2017</w:t>
                  </w:r>
                </w:p>
              </w:tc>
              <w:tc>
                <w:tcPr>
                  <w:tcW w:w="350" w:type="dxa"/>
                  <w:tcBorders>
                    <w:top w:val="nil"/>
                    <w:left w:val="nil"/>
                    <w:bottom w:val="double" w:sz="6" w:space="0" w:color="auto"/>
                    <w:right w:val="single" w:sz="4" w:space="0" w:color="auto"/>
                  </w:tcBorders>
                  <w:shd w:val="clear" w:color="000000" w:fill="D9D9D9"/>
                  <w:noWrap/>
                  <w:textDirection w:val="btLr"/>
                  <w:vAlign w:val="center"/>
                  <w:hideMark/>
                </w:tcPr>
                <w:p w:rsidR="00044FCC" w:rsidRPr="00220F88" w:rsidRDefault="00044FCC" w:rsidP="00044FCC">
                  <w:pPr>
                    <w:jc w:val="center"/>
                    <w:rPr>
                      <w:rFonts w:asciiTheme="minorBidi" w:hAnsiTheme="minorBidi" w:cstheme="minorBidi"/>
                      <w:i/>
                      <w:iCs/>
                      <w:color w:val="000000"/>
                      <w:sz w:val="16"/>
                      <w:szCs w:val="16"/>
                    </w:rPr>
                  </w:pPr>
                  <w:r w:rsidRPr="00220F88">
                    <w:rPr>
                      <w:rFonts w:asciiTheme="minorBidi" w:hAnsiTheme="minorBidi" w:cstheme="minorBidi"/>
                      <w:i/>
                      <w:iCs/>
                      <w:color w:val="000000"/>
                      <w:sz w:val="16"/>
                      <w:szCs w:val="16"/>
                    </w:rPr>
                    <w:t>09/2017</w:t>
                  </w:r>
                </w:p>
              </w:tc>
              <w:tc>
                <w:tcPr>
                  <w:tcW w:w="403" w:type="dxa"/>
                  <w:vMerge/>
                  <w:tcBorders>
                    <w:top w:val="single" w:sz="8" w:space="0" w:color="auto"/>
                    <w:left w:val="single" w:sz="4" w:space="0" w:color="auto"/>
                    <w:bottom w:val="double" w:sz="6" w:space="0" w:color="000000"/>
                    <w:right w:val="single" w:sz="8" w:space="0" w:color="auto"/>
                  </w:tcBorders>
                  <w:vAlign w:val="center"/>
                  <w:hideMark/>
                </w:tcPr>
                <w:p w:rsidR="00044FCC" w:rsidRPr="00220F88" w:rsidRDefault="00044FCC" w:rsidP="00044FCC">
                  <w:pPr>
                    <w:rPr>
                      <w:rFonts w:asciiTheme="minorBidi" w:hAnsiTheme="minorBidi" w:cstheme="minorBidi"/>
                      <w:b/>
                      <w:bCs/>
                      <w:color w:val="000000"/>
                      <w:sz w:val="16"/>
                      <w:szCs w:val="16"/>
                    </w:rPr>
                  </w:pP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L01* (okrem L01XX05)</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14</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12</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12</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12</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10</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11</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4</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w:t>
                  </w:r>
                </w:p>
              </w:tc>
              <w:tc>
                <w:tcPr>
                  <w:tcW w:w="405"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4</w:t>
                  </w:r>
                </w:p>
              </w:tc>
              <w:tc>
                <w:tcPr>
                  <w:tcW w:w="35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3</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37</w:t>
                  </w: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L01XX05</w:t>
                  </w:r>
                  <w:r w:rsidRPr="00220F88">
                    <w:rPr>
                      <w:rFonts w:asciiTheme="minorBidi" w:hAnsiTheme="minorBidi" w:cstheme="minorBidi"/>
                      <w:color w:val="000000"/>
                      <w:sz w:val="16"/>
                      <w:szCs w:val="16"/>
                      <w:vertAlign w:val="superscript"/>
                    </w:rPr>
                    <w:t>1</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226</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182</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198</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201</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196</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223</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187</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217</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207</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183</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127</w:t>
                  </w:r>
                </w:p>
              </w:tc>
              <w:tc>
                <w:tcPr>
                  <w:tcW w:w="35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12</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766</w:t>
                  </w: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L03AB*</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78</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89</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86</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98</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75</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89</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80</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94</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85</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93</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70</w:t>
                  </w:r>
                </w:p>
              </w:tc>
              <w:tc>
                <w:tcPr>
                  <w:tcW w:w="35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10</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224</w:t>
                  </w:r>
                </w:p>
              </w:tc>
            </w:tr>
            <w:tr w:rsidR="00044FCC" w:rsidRPr="00220F88" w:rsidTr="00044FCC">
              <w:trPr>
                <w:trHeight w:val="270"/>
              </w:trPr>
              <w:tc>
                <w:tcPr>
                  <w:tcW w:w="1520" w:type="dxa"/>
                  <w:tcBorders>
                    <w:top w:val="nil"/>
                    <w:left w:val="single" w:sz="8" w:space="0" w:color="auto"/>
                    <w:bottom w:val="nil"/>
                    <w:right w:val="nil"/>
                  </w:tcBorders>
                  <w:shd w:val="clear" w:color="auto" w:fill="auto"/>
                  <w:noWrap/>
                  <w:vAlign w:val="center"/>
                  <w:hideMark/>
                </w:tcPr>
                <w:p w:rsidR="00044FCC" w:rsidRPr="00220F88" w:rsidRDefault="00044FCC" w:rsidP="001A5F48">
                  <w:pPr>
                    <w:rPr>
                      <w:rFonts w:asciiTheme="minorBidi" w:hAnsiTheme="minorBidi" w:cstheme="minorBidi"/>
                      <w:color w:val="000000"/>
                      <w:sz w:val="16"/>
                      <w:szCs w:val="16"/>
                    </w:rPr>
                  </w:pPr>
                  <w:r w:rsidRPr="00220F88">
                    <w:rPr>
                      <w:rFonts w:asciiTheme="minorBidi" w:hAnsiTheme="minorBidi" w:cstheme="minorBidi"/>
                      <w:color w:val="000000"/>
                      <w:sz w:val="16"/>
                      <w:szCs w:val="16"/>
                    </w:rPr>
                    <w:t>L04AX*</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nil"/>
                    <w:bottom w:val="nil"/>
                    <w:right w:val="nil"/>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5" w:type="dxa"/>
                  <w:tcBorders>
                    <w:top w:val="nil"/>
                    <w:left w:val="single" w:sz="4" w:space="0" w:color="auto"/>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350" w:type="dxa"/>
                  <w:tcBorders>
                    <w:top w:val="nil"/>
                    <w:left w:val="nil"/>
                    <w:bottom w:val="nil"/>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color w:val="000000"/>
                      <w:sz w:val="16"/>
                      <w:szCs w:val="16"/>
                    </w:rPr>
                  </w:pPr>
                  <w:r w:rsidRPr="00220F88">
                    <w:rPr>
                      <w:rFonts w:asciiTheme="minorBidi" w:hAnsiTheme="minorBidi" w:cstheme="minorBidi"/>
                      <w:color w:val="000000"/>
                      <w:sz w:val="16"/>
                      <w:szCs w:val="16"/>
                    </w:rPr>
                    <w:t>-</w:t>
                  </w:r>
                </w:p>
              </w:tc>
              <w:tc>
                <w:tcPr>
                  <w:tcW w:w="403" w:type="dxa"/>
                  <w:tcBorders>
                    <w:top w:val="nil"/>
                    <w:left w:val="nil"/>
                    <w:bottom w:val="nil"/>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w:t>
                  </w:r>
                </w:p>
              </w:tc>
            </w:tr>
            <w:tr w:rsidR="00044FCC" w:rsidRPr="00220F88" w:rsidTr="00044FCC">
              <w:trPr>
                <w:trHeight w:val="270"/>
              </w:trPr>
              <w:tc>
                <w:tcPr>
                  <w:tcW w:w="1520" w:type="dxa"/>
                  <w:tcBorders>
                    <w:top w:val="single" w:sz="8" w:space="0" w:color="auto"/>
                    <w:left w:val="single" w:sz="8" w:space="0" w:color="auto"/>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Spolu za kódy</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311</w:t>
                  </w:r>
                </w:p>
              </w:tc>
              <w:tc>
                <w:tcPr>
                  <w:tcW w:w="405" w:type="dxa"/>
                  <w:tcBorders>
                    <w:top w:val="single" w:sz="8" w:space="0" w:color="auto"/>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276</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291</w:t>
                  </w:r>
                </w:p>
              </w:tc>
              <w:tc>
                <w:tcPr>
                  <w:tcW w:w="405" w:type="dxa"/>
                  <w:tcBorders>
                    <w:top w:val="single" w:sz="8" w:space="0" w:color="auto"/>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298</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278</w:t>
                  </w:r>
                </w:p>
              </w:tc>
              <w:tc>
                <w:tcPr>
                  <w:tcW w:w="405" w:type="dxa"/>
                  <w:tcBorders>
                    <w:top w:val="single" w:sz="8" w:space="0" w:color="auto"/>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314</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272</w:t>
                  </w:r>
                </w:p>
              </w:tc>
              <w:tc>
                <w:tcPr>
                  <w:tcW w:w="405" w:type="dxa"/>
                  <w:tcBorders>
                    <w:top w:val="single" w:sz="8" w:space="0" w:color="auto"/>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312</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291</w:t>
                  </w:r>
                </w:p>
              </w:tc>
              <w:tc>
                <w:tcPr>
                  <w:tcW w:w="405" w:type="dxa"/>
                  <w:tcBorders>
                    <w:top w:val="single" w:sz="8" w:space="0" w:color="auto"/>
                    <w:left w:val="nil"/>
                    <w:bottom w:val="single" w:sz="8" w:space="0" w:color="auto"/>
                    <w:right w:val="nil"/>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280</w:t>
                  </w:r>
                </w:p>
              </w:tc>
              <w:tc>
                <w:tcPr>
                  <w:tcW w:w="40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198</w:t>
                  </w:r>
                </w:p>
              </w:tc>
              <w:tc>
                <w:tcPr>
                  <w:tcW w:w="350" w:type="dxa"/>
                  <w:tcBorders>
                    <w:top w:val="single" w:sz="8" w:space="0" w:color="auto"/>
                    <w:left w:val="nil"/>
                    <w:bottom w:val="single" w:sz="8" w:space="0" w:color="auto"/>
                    <w:right w:val="single" w:sz="4"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25</w:t>
                  </w:r>
                </w:p>
              </w:tc>
              <w:tc>
                <w:tcPr>
                  <w:tcW w:w="403" w:type="dxa"/>
                  <w:tcBorders>
                    <w:top w:val="single" w:sz="8" w:space="0" w:color="auto"/>
                    <w:left w:val="nil"/>
                    <w:bottom w:val="single" w:sz="8" w:space="0" w:color="auto"/>
                    <w:right w:val="single" w:sz="8" w:space="0" w:color="auto"/>
                  </w:tcBorders>
                  <w:shd w:val="clear" w:color="auto" w:fill="auto"/>
                  <w:noWrap/>
                  <w:vAlign w:val="center"/>
                  <w:hideMark/>
                </w:tcPr>
                <w:p w:rsidR="00044FCC" w:rsidRPr="00220F88" w:rsidRDefault="00044FCC" w:rsidP="00044FCC">
                  <w:pPr>
                    <w:jc w:val="center"/>
                    <w:rPr>
                      <w:rFonts w:asciiTheme="minorBidi" w:hAnsiTheme="minorBidi" w:cstheme="minorBidi"/>
                      <w:b/>
                      <w:bCs/>
                      <w:color w:val="000000"/>
                      <w:sz w:val="16"/>
                      <w:szCs w:val="16"/>
                    </w:rPr>
                  </w:pPr>
                  <w:r w:rsidRPr="00220F88">
                    <w:rPr>
                      <w:rFonts w:asciiTheme="minorBidi" w:hAnsiTheme="minorBidi" w:cstheme="minorBidi"/>
                      <w:b/>
                      <w:bCs/>
                      <w:color w:val="000000"/>
                      <w:sz w:val="16"/>
                      <w:szCs w:val="16"/>
                    </w:rPr>
                    <w:t>968</w:t>
                  </w:r>
                </w:p>
              </w:tc>
            </w:tr>
          </w:tbl>
          <w:p w:rsidR="00044FCC" w:rsidRDefault="00044FCC" w:rsidP="00F3138B">
            <w:pPr>
              <w:pStyle w:val="NormalWeb"/>
              <w:shd w:val="clear" w:color="auto" w:fill="FFFFFF"/>
              <w:spacing w:before="30" w:beforeAutospacing="0" w:after="120" w:afterAutospacing="0"/>
              <w:jc w:val="both"/>
              <w:rPr>
                <w:rFonts w:ascii="Arial" w:hAnsi="Arial" w:cs="Arial"/>
                <w:sz w:val="20"/>
                <w:szCs w:val="20"/>
              </w:rPr>
            </w:pPr>
          </w:p>
          <w:p w:rsidR="006777D6" w:rsidRDefault="00220F88" w:rsidP="00233BA5">
            <w:pPr>
              <w:pStyle w:val="NormalWeb"/>
              <w:shd w:val="clear" w:color="auto" w:fill="FFFFFF"/>
              <w:spacing w:before="30" w:beforeAutospacing="0" w:after="120" w:afterAutospacing="0"/>
              <w:jc w:val="both"/>
              <w:rPr>
                <w:rFonts w:ascii="Arial" w:hAnsi="Arial" w:cs="Arial"/>
                <w:sz w:val="20"/>
                <w:szCs w:val="20"/>
              </w:rPr>
            </w:pPr>
            <w:r>
              <w:rPr>
                <w:rFonts w:ascii="Arial" w:hAnsi="Arial" w:cs="Arial"/>
                <w:sz w:val="20"/>
                <w:szCs w:val="20"/>
              </w:rPr>
              <w:t xml:space="preserve">Tieto údaje sú v súlade s vyššie spracovanými </w:t>
            </w:r>
            <w:r w:rsidR="006777D6">
              <w:rPr>
                <w:rFonts w:ascii="Arial" w:hAnsi="Arial" w:cs="Arial"/>
                <w:sz w:val="20"/>
                <w:szCs w:val="20"/>
              </w:rPr>
              <w:t xml:space="preserve">a publikovanými </w:t>
            </w:r>
            <w:r>
              <w:rPr>
                <w:rFonts w:ascii="Arial" w:hAnsi="Arial" w:cs="Arial"/>
                <w:sz w:val="20"/>
                <w:szCs w:val="20"/>
              </w:rPr>
              <w:t xml:space="preserve">dátami autorov Ondrušová a Chudej a oba zdroje údajov sa len minimálne odlišujú. </w:t>
            </w:r>
            <w:r w:rsidR="001A5F48" w:rsidRPr="001A5F48">
              <w:rPr>
                <w:rFonts w:ascii="Arial" w:hAnsi="Arial" w:cs="Arial"/>
                <w:sz w:val="20"/>
                <w:szCs w:val="20"/>
              </w:rPr>
              <w:t>Podľa dát MZ SR (8) v r. 2016 užívalo v SR 737 chorých hydroxyureu</w:t>
            </w:r>
            <w:r w:rsidR="006777D6">
              <w:rPr>
                <w:rFonts w:ascii="Arial" w:hAnsi="Arial" w:cs="Arial"/>
                <w:sz w:val="20"/>
                <w:szCs w:val="20"/>
              </w:rPr>
              <w:t xml:space="preserve"> </w:t>
            </w:r>
            <w:r w:rsidR="00233BA5">
              <w:rPr>
                <w:rFonts w:ascii="Arial" w:hAnsi="Arial" w:cs="Arial"/>
                <w:sz w:val="20"/>
                <w:szCs w:val="20"/>
              </w:rPr>
              <w:t xml:space="preserve">(L01XX05) </w:t>
            </w:r>
            <w:r w:rsidR="006777D6">
              <w:rPr>
                <w:rFonts w:ascii="Arial" w:hAnsi="Arial" w:cs="Arial"/>
                <w:sz w:val="20"/>
                <w:szCs w:val="20"/>
              </w:rPr>
              <w:t xml:space="preserve">a podľa poskytnutých údajov NCZI </w:t>
            </w:r>
            <w:r w:rsidR="001A5F48">
              <w:rPr>
                <w:rFonts w:ascii="Arial" w:hAnsi="Arial" w:cs="Arial"/>
                <w:sz w:val="20"/>
                <w:szCs w:val="20"/>
              </w:rPr>
              <w:t xml:space="preserve">za </w:t>
            </w:r>
            <w:r w:rsidR="006777D6">
              <w:rPr>
                <w:rFonts w:ascii="Arial" w:hAnsi="Arial" w:cs="Arial"/>
                <w:sz w:val="20"/>
                <w:szCs w:val="20"/>
              </w:rPr>
              <w:t xml:space="preserve">12-mesačné </w:t>
            </w:r>
            <w:r w:rsidR="001A5F48">
              <w:rPr>
                <w:rFonts w:ascii="Arial" w:hAnsi="Arial" w:cs="Arial"/>
                <w:sz w:val="20"/>
                <w:szCs w:val="20"/>
              </w:rPr>
              <w:t xml:space="preserve">obdobie </w:t>
            </w:r>
            <w:r w:rsidR="001A5F48" w:rsidRPr="001A5F48">
              <w:rPr>
                <w:rFonts w:ascii="Arial" w:hAnsi="Arial" w:cs="Arial"/>
                <w:sz w:val="20"/>
                <w:szCs w:val="20"/>
              </w:rPr>
              <w:t>10/201</w:t>
            </w:r>
            <w:r w:rsidR="00233BA5">
              <w:rPr>
                <w:rFonts w:ascii="Arial" w:hAnsi="Arial" w:cs="Arial"/>
                <w:sz w:val="20"/>
                <w:szCs w:val="20"/>
              </w:rPr>
              <w:t>5</w:t>
            </w:r>
            <w:r w:rsidR="001A5F48" w:rsidRPr="001A5F48">
              <w:rPr>
                <w:rFonts w:ascii="Arial" w:hAnsi="Arial" w:cs="Arial"/>
                <w:sz w:val="20"/>
                <w:szCs w:val="20"/>
              </w:rPr>
              <w:t>– 09/201</w:t>
            </w:r>
            <w:r w:rsidR="00233BA5">
              <w:rPr>
                <w:rFonts w:ascii="Arial" w:hAnsi="Arial" w:cs="Arial"/>
                <w:sz w:val="20"/>
                <w:szCs w:val="20"/>
              </w:rPr>
              <w:t>6</w:t>
            </w:r>
            <w:r w:rsidR="001A5F48">
              <w:rPr>
                <w:rFonts w:ascii="Arial" w:hAnsi="Arial" w:cs="Arial"/>
                <w:sz w:val="20"/>
                <w:szCs w:val="20"/>
              </w:rPr>
              <w:t xml:space="preserve"> </w:t>
            </w:r>
            <w:r w:rsidR="00233BA5">
              <w:rPr>
                <w:rFonts w:ascii="Arial" w:hAnsi="Arial" w:cs="Arial"/>
                <w:sz w:val="20"/>
                <w:szCs w:val="20"/>
              </w:rPr>
              <w:t>to bolo 731</w:t>
            </w:r>
            <w:r w:rsidR="001A5F48">
              <w:rPr>
                <w:rFonts w:ascii="Arial" w:hAnsi="Arial" w:cs="Arial"/>
                <w:sz w:val="20"/>
                <w:szCs w:val="20"/>
              </w:rPr>
              <w:t xml:space="preserve"> pacientov, čo predstavuje rozdiel medzi oboma zdrojmi na </w:t>
            </w:r>
            <w:r w:rsidR="00233BA5">
              <w:rPr>
                <w:rFonts w:ascii="Arial" w:hAnsi="Arial" w:cs="Arial"/>
                <w:sz w:val="20"/>
                <w:szCs w:val="20"/>
              </w:rPr>
              <w:t xml:space="preserve">zanedbateľnej </w:t>
            </w:r>
            <w:r w:rsidR="001A5F48">
              <w:rPr>
                <w:rFonts w:ascii="Arial" w:hAnsi="Arial" w:cs="Arial"/>
                <w:sz w:val="20"/>
                <w:szCs w:val="20"/>
              </w:rPr>
              <w:t xml:space="preserve">úrovni </w:t>
            </w:r>
            <w:r w:rsidR="00233BA5">
              <w:rPr>
                <w:rFonts w:ascii="Arial" w:hAnsi="Arial" w:cs="Arial"/>
                <w:sz w:val="20"/>
                <w:szCs w:val="20"/>
              </w:rPr>
              <w:t>0</w:t>
            </w:r>
            <w:r w:rsidR="006777D6">
              <w:rPr>
                <w:rFonts w:ascii="Arial" w:hAnsi="Arial" w:cs="Arial"/>
                <w:sz w:val="20"/>
                <w:szCs w:val="20"/>
              </w:rPr>
              <w:t xml:space="preserve">,8%, a môže byť vysvetliteľný aj tým, že sa nejedná o tie isté </w:t>
            </w:r>
            <w:r w:rsidR="00233BA5">
              <w:rPr>
                <w:rFonts w:ascii="Arial" w:hAnsi="Arial" w:cs="Arial"/>
                <w:sz w:val="20"/>
                <w:szCs w:val="20"/>
              </w:rPr>
              <w:t>12-mesačné obdobia</w:t>
            </w:r>
            <w:r w:rsidR="006777D6">
              <w:rPr>
                <w:rFonts w:ascii="Arial" w:hAnsi="Arial" w:cs="Arial"/>
                <w:sz w:val="20"/>
                <w:szCs w:val="20"/>
              </w:rPr>
              <w:t>.</w:t>
            </w:r>
          </w:p>
          <w:p w:rsidR="00044FCC" w:rsidRPr="003D11CC" w:rsidRDefault="00044FCC" w:rsidP="00F3138B">
            <w:pPr>
              <w:pStyle w:val="NormalWeb"/>
              <w:shd w:val="clear" w:color="auto" w:fill="FFFFFF"/>
              <w:spacing w:before="30" w:beforeAutospacing="0" w:after="120" w:afterAutospacing="0"/>
              <w:jc w:val="both"/>
              <w:rPr>
                <w:rFonts w:ascii="Arial" w:hAnsi="Arial" w:cs="Arial"/>
                <w:sz w:val="20"/>
                <w:szCs w:val="20"/>
              </w:rPr>
            </w:pP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Style w:val="Strong"/>
                <w:rFonts w:ascii="Arial" w:hAnsi="Arial" w:cs="Arial"/>
                <w:i/>
                <w:iCs/>
                <w:sz w:val="20"/>
                <w:szCs w:val="20"/>
              </w:rPr>
              <w:lastRenderedPageBreak/>
              <w:t>Referencie</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1. Mistrík, M.: Myeloidné neoplázie. UK, Bratislava 2014, 59 s. ISBN 978-80-223-3594-2.</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2. Kol. autorov: V liečbe zriedkavých ochorení pomáhajú tzv. orphan lieky. ŠÚKL, Bratislava. Dostupné na: https://www.sukl.sk/hlavna-stranka/slovenska-verzia/media/tlacove-spravy/v-liecbe-zriedkavych-ochoreni-pomahaju-tzv.-orphan-lieky?page_id=3308 Stiahnuté 20.03.2018.</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3. Kubisz, P. a kol.: Hematológia a transfúziológia. Grada, Bratislava 2006, s. 119.</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4. Vallová, A.: Polycytémia vera: postupné odkrývanie podstaty ochorenia. Dostupné na: http://inovacie.aifp.sk/inovacia/polycytemia-vera/ Stiahnuté: 20.03.2018.</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5. Peter Johansson: Epidemiology of the Myeloproliferative Disorders Polycythemia Vera and Essential Thrombocythemia. DOI: 10.1055/s-2006-939430 · Source: PubMed 2006.</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6. Ondrušová, M. a kol.: Komplexná analýza výskytu a úmrtnosti na zhubné nádory v Slovenskej republike (online). Bratislava, NOR SR, NCZI, 2007, http://www.nor-sk.org/. ISBN 978-80-89292-05-9. (Dostupné do: jún 2009)</w:t>
            </w:r>
          </w:p>
          <w:p w:rsidR="003D11CC" w:rsidRPr="003D11CC" w:rsidRDefault="003D11CC" w:rsidP="003D11CC">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7. Kol. autorov: Úmrtnostné tabuľky SR. Štatistický úrad SR. Dostupné na: http://slovak.statistics.sk/ wps/portal/ext/ themes/ demography/ population/ indicators/: Obyvateľstvo a migrácia, príčiny smrti: nádory 2016. Stiahnuté: 20.03.2018.</w:t>
            </w:r>
          </w:p>
          <w:p w:rsidR="003D11CC" w:rsidRDefault="003D11CC" w:rsidP="006777D6">
            <w:pPr>
              <w:pStyle w:val="NormalWeb"/>
              <w:shd w:val="clear" w:color="auto" w:fill="FFFFFF"/>
              <w:spacing w:before="30" w:beforeAutospacing="0" w:after="120" w:afterAutospacing="0"/>
              <w:jc w:val="both"/>
              <w:rPr>
                <w:rFonts w:ascii="Arial" w:hAnsi="Arial" w:cs="Arial"/>
                <w:i/>
                <w:iCs/>
                <w:sz w:val="20"/>
                <w:szCs w:val="20"/>
              </w:rPr>
            </w:pPr>
            <w:r w:rsidRPr="003D11CC">
              <w:rPr>
                <w:rFonts w:ascii="Arial" w:hAnsi="Arial" w:cs="Arial"/>
                <w:i/>
                <w:iCs/>
                <w:sz w:val="20"/>
                <w:szCs w:val="20"/>
              </w:rPr>
              <w:t>8. Kol. autorov: Úhrady zdravotných poisťovní podľa vekových skupín a diagnóz. MZ SR, 2017. Dostupné na: http://www.health.gov.sk/?izp7 Stiahnut</w:t>
            </w:r>
            <w:r w:rsidR="006777D6">
              <w:rPr>
                <w:rFonts w:ascii="Arial" w:hAnsi="Arial" w:cs="Arial"/>
                <w:i/>
                <w:iCs/>
                <w:sz w:val="20"/>
                <w:szCs w:val="20"/>
              </w:rPr>
              <w:t>é</w:t>
            </w:r>
            <w:r w:rsidRPr="003D11CC">
              <w:rPr>
                <w:rFonts w:ascii="Arial" w:hAnsi="Arial" w:cs="Arial"/>
                <w:i/>
                <w:iCs/>
                <w:sz w:val="20"/>
                <w:szCs w:val="20"/>
              </w:rPr>
              <w:t>. 20.03.2018.</w:t>
            </w:r>
          </w:p>
          <w:p w:rsidR="006777D6" w:rsidRDefault="006777D6" w:rsidP="00233BA5">
            <w:pPr>
              <w:pStyle w:val="NormalWeb"/>
              <w:shd w:val="clear" w:color="auto" w:fill="FFFFFF"/>
              <w:spacing w:before="30" w:beforeAutospacing="0" w:after="120" w:afterAutospacing="0"/>
              <w:jc w:val="both"/>
              <w:rPr>
                <w:rFonts w:ascii="Arial" w:hAnsi="Arial" w:cs="Arial"/>
                <w:i/>
                <w:iCs/>
                <w:sz w:val="20"/>
                <w:szCs w:val="20"/>
              </w:rPr>
            </w:pPr>
            <w:r>
              <w:rPr>
                <w:rFonts w:ascii="Arial" w:hAnsi="Arial" w:cs="Arial"/>
                <w:i/>
                <w:iCs/>
                <w:sz w:val="20"/>
                <w:szCs w:val="20"/>
              </w:rPr>
              <w:t>9.</w:t>
            </w:r>
            <w:r w:rsidRPr="00233BA5">
              <w:rPr>
                <w:rFonts w:ascii="Arial" w:hAnsi="Arial" w:cs="Arial"/>
                <w:i/>
                <w:iCs/>
                <w:sz w:val="20"/>
                <w:szCs w:val="20"/>
              </w:rPr>
              <w:t xml:space="preserve"> </w:t>
            </w:r>
            <w:r w:rsidR="00233BA5" w:rsidRPr="00233BA5">
              <w:rPr>
                <w:rFonts w:ascii="Arial" w:hAnsi="Arial" w:cs="Arial"/>
                <w:i/>
                <w:iCs/>
                <w:sz w:val="20"/>
                <w:szCs w:val="20"/>
              </w:rPr>
              <w:t xml:space="preserve">Ondrušová M., Chudej J. Polycytémia vera (pravá polycytémia). Štatistické zisťovanie v SR.  </w:t>
            </w:r>
            <w:r w:rsidR="00233BA5" w:rsidRPr="003D11CC">
              <w:rPr>
                <w:rFonts w:ascii="Arial" w:hAnsi="Arial" w:cs="Arial"/>
                <w:i/>
                <w:iCs/>
                <w:sz w:val="20"/>
                <w:szCs w:val="20"/>
              </w:rPr>
              <w:t xml:space="preserve">Dostupné na: </w:t>
            </w:r>
            <w:r w:rsidR="00233BA5" w:rsidRPr="00233BA5">
              <w:rPr>
                <w:rFonts w:ascii="Arial" w:hAnsi="Arial" w:cs="Arial"/>
                <w:i/>
                <w:iCs/>
                <w:sz w:val="20"/>
                <w:szCs w:val="20"/>
              </w:rPr>
              <w:t>http://www.pharmin.sk/sk/studie-realnej-klinickej-praxe-2018-polycytemia-vera/.</w:t>
            </w:r>
            <w:r w:rsidR="00233BA5">
              <w:rPr>
                <w:rFonts w:ascii="Arial" w:hAnsi="Arial" w:cs="Arial"/>
                <w:i/>
                <w:iCs/>
                <w:sz w:val="20"/>
                <w:szCs w:val="20"/>
              </w:rPr>
              <w:t>Stiahnuté: 22</w:t>
            </w:r>
            <w:r w:rsidRPr="006777D6">
              <w:rPr>
                <w:rFonts w:ascii="Arial" w:hAnsi="Arial" w:cs="Arial"/>
                <w:i/>
                <w:iCs/>
                <w:sz w:val="20"/>
                <w:szCs w:val="20"/>
              </w:rPr>
              <w:t>.03.2018.</w:t>
            </w:r>
          </w:p>
          <w:p w:rsidR="006777D6" w:rsidRPr="003D11CC" w:rsidRDefault="00233BA5" w:rsidP="006777D6">
            <w:pPr>
              <w:pStyle w:val="NormalWeb"/>
              <w:shd w:val="clear" w:color="auto" w:fill="FFFFFF"/>
              <w:spacing w:before="30" w:beforeAutospacing="0" w:after="120" w:afterAutospacing="0"/>
              <w:jc w:val="both"/>
              <w:rPr>
                <w:rFonts w:ascii="Arial" w:hAnsi="Arial" w:cs="Arial"/>
                <w:i/>
                <w:iCs/>
                <w:sz w:val="20"/>
                <w:szCs w:val="20"/>
              </w:rPr>
            </w:pPr>
            <w:r>
              <w:rPr>
                <w:rFonts w:ascii="Arial" w:hAnsi="Arial" w:cs="Arial"/>
                <w:i/>
                <w:iCs/>
                <w:sz w:val="20"/>
                <w:szCs w:val="20"/>
              </w:rPr>
              <w:t>10</w:t>
            </w:r>
            <w:r w:rsidR="006777D6">
              <w:rPr>
                <w:rFonts w:ascii="Arial" w:hAnsi="Arial" w:cs="Arial"/>
                <w:i/>
                <w:iCs/>
                <w:sz w:val="20"/>
                <w:szCs w:val="20"/>
              </w:rPr>
              <w:t xml:space="preserve">. </w:t>
            </w:r>
            <w:r w:rsidR="006777D6" w:rsidRPr="006777D6">
              <w:rPr>
                <w:rFonts w:ascii="Arial" w:hAnsi="Arial" w:cs="Arial"/>
                <w:i/>
                <w:iCs/>
                <w:sz w:val="20"/>
                <w:szCs w:val="20"/>
              </w:rPr>
              <w:t xml:space="preserve">NCZI; Zdrojom sú údaje od zdravotných poisťovní zasielané do NCZI podľa § 15 ods. 6 zákona č. 581/2004 Z.z. o zdravotných poisťovniach, dohľade nad zdravotnou starostlivosťou a o zmene a doplnení niektorých zákonov v znení neskorších predpisov a v zmysle zákona č. 153/2013 Z.z. Údaje </w:t>
            </w:r>
            <w:r w:rsidR="006777D6">
              <w:rPr>
                <w:rFonts w:ascii="Arial" w:hAnsi="Arial" w:cs="Arial"/>
                <w:i/>
                <w:iCs/>
                <w:sz w:val="20"/>
                <w:szCs w:val="20"/>
              </w:rPr>
              <w:t>poskytnuté dňa 21.3.2018.</w:t>
            </w:r>
          </w:p>
          <w:p w:rsidR="003D11CC" w:rsidRDefault="003D11CC" w:rsidP="003D11CC">
            <w:pPr>
              <w:pStyle w:val="NormalWeb"/>
              <w:shd w:val="clear" w:color="auto" w:fill="FFFFFF"/>
              <w:spacing w:before="30" w:beforeAutospacing="0" w:after="120" w:afterAutospacing="0"/>
              <w:jc w:val="both"/>
              <w:rPr>
                <w:rFonts w:ascii="Arial" w:hAnsi="Arial" w:cs="Arial"/>
                <w:color w:val="666666"/>
                <w:sz w:val="20"/>
                <w:szCs w:val="20"/>
              </w:rPr>
            </w:pPr>
          </w:p>
          <w:p w:rsidR="0045174A" w:rsidRDefault="0045174A" w:rsidP="003D11CC">
            <w:pPr>
              <w:pStyle w:val="NormalWeb"/>
              <w:shd w:val="clear" w:color="auto" w:fill="FFFFFF"/>
              <w:spacing w:before="30" w:beforeAutospacing="0" w:after="120" w:afterAutospacing="0"/>
              <w:jc w:val="both"/>
              <w:rPr>
                <w:rFonts w:ascii="Arial" w:hAnsi="Arial" w:cs="Arial"/>
                <w:color w:val="666666"/>
                <w:sz w:val="20"/>
                <w:szCs w:val="20"/>
              </w:rPr>
            </w:pPr>
          </w:p>
          <w:p w:rsidR="0045174A" w:rsidRDefault="0045174A" w:rsidP="003D11CC">
            <w:pPr>
              <w:pStyle w:val="NormalWeb"/>
              <w:shd w:val="clear" w:color="auto" w:fill="FFFFFF"/>
              <w:spacing w:before="30" w:beforeAutospacing="0" w:after="120" w:afterAutospacing="0"/>
              <w:jc w:val="both"/>
              <w:rPr>
                <w:rFonts w:ascii="Arial" w:hAnsi="Arial" w:cs="Arial"/>
                <w:color w:val="666666"/>
                <w:sz w:val="20"/>
                <w:szCs w:val="20"/>
              </w:rPr>
            </w:pPr>
          </w:p>
          <w:p w:rsidR="003D11CC" w:rsidRPr="00344F0D" w:rsidRDefault="003D11CC" w:rsidP="003D11CC">
            <w:pPr>
              <w:autoSpaceDE w:val="0"/>
              <w:autoSpaceDN w:val="0"/>
              <w:adjustRightInd w:val="0"/>
              <w:jc w:val="both"/>
              <w:rPr>
                <w:rFonts w:ascii="Arial" w:hAnsi="Arial" w:cs="Arial"/>
                <w:b/>
                <w:bCs/>
                <w:sz w:val="20"/>
                <w:szCs w:val="20"/>
                <w:u w:val="single"/>
              </w:rPr>
            </w:pPr>
            <w:r>
              <w:rPr>
                <w:rFonts w:ascii="Arial" w:hAnsi="Arial" w:cs="Arial"/>
                <w:b/>
                <w:bCs/>
                <w:sz w:val="20"/>
                <w:szCs w:val="20"/>
                <w:u w:val="single"/>
              </w:rPr>
              <w:t>B</w:t>
            </w:r>
            <w:r w:rsidRPr="00344F0D">
              <w:rPr>
                <w:rFonts w:ascii="Arial" w:hAnsi="Arial" w:cs="Arial"/>
                <w:b/>
                <w:bCs/>
                <w:sz w:val="20"/>
                <w:szCs w:val="20"/>
                <w:u w:val="single"/>
              </w:rPr>
              <w:t xml:space="preserve">) </w:t>
            </w:r>
            <w:r w:rsidRPr="007B24BF">
              <w:rPr>
                <w:rFonts w:ascii="Arial" w:hAnsi="Arial" w:cs="Arial"/>
                <w:b/>
                <w:bCs/>
                <w:sz w:val="20"/>
                <w:szCs w:val="20"/>
                <w:u w:val="single"/>
              </w:rPr>
              <w:t>Údaje o účinnosti lieku podložené výsledkami klinických skúšok</w:t>
            </w:r>
          </w:p>
          <w:p w:rsidR="003D11CC" w:rsidRDefault="003D11CC"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Polycytémia vera (PV) </w:t>
            </w:r>
            <w:r>
              <w:rPr>
                <w:rFonts w:ascii="Arial" w:hAnsi="Arial" w:cs="Arial"/>
                <w:noProof/>
                <w:sz w:val="20"/>
                <w:szCs w:val="20"/>
              </w:rPr>
              <w:t xml:space="preserve">je </w:t>
            </w:r>
            <w:r w:rsidRPr="00F41B75">
              <w:rPr>
                <w:rFonts w:ascii="Arial" w:hAnsi="Arial" w:cs="Arial"/>
                <w:noProof/>
                <w:sz w:val="20"/>
                <w:szCs w:val="20"/>
              </w:rPr>
              <w:t>zriedkavé malígne hematologické ochorenie, ktoré patrí do veľkej skupiny myeloproliferatívnych neoplázií. Je charakterizovaná zväčšeným objemom masy cirkulujúcich erytrocytov, často je súčasne zvýšený aj počet leukocytov a trombocytov. Chorobu spôsobuje získané klonové ochorenie multipotentnej krvotvornej bunky, pri ktorom sa akumulujú fenotypicky normálne erytrocyty, granulocyty a trombocyty.</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Etiológia PV nie je známa, predpokladá sa genetická predispozícia. Špecifická somatická JAK2 bodová mutácia v kodóne 617 (V617F) sa zisťuje približne u 95% chorých s PV. Táto mutácia  spôsobuje aktiváciu JAK2-STAT kinázovej signálnej dráhy, čo vedie k autonómnej erytropoéze nezávislej na EPO signále (obr. č. 1). Erytrocytové progenitory sa nedelia rýchlejšie ako normálne bunky, ale akumuláciu zapríčiňujú poruchy apoptózy. Rezistencia na apoptózu (za fyziologických podmienok indukovanú nedostatkom erytropoetínu) zapríčiňuje zvýšen</w:t>
            </w:r>
            <w:r>
              <w:rPr>
                <w:rFonts w:ascii="Arial" w:hAnsi="Arial" w:cs="Arial"/>
                <w:noProof/>
                <w:sz w:val="20"/>
                <w:szCs w:val="20"/>
              </w:rPr>
              <w:t>ú</w:t>
            </w:r>
            <w:r w:rsidRPr="00F41B75">
              <w:rPr>
                <w:rFonts w:ascii="Arial" w:hAnsi="Arial" w:cs="Arial"/>
                <w:noProof/>
                <w:sz w:val="20"/>
                <w:szCs w:val="20"/>
              </w:rPr>
              <w:t xml:space="preserve"> aktivit</w:t>
            </w:r>
            <w:r>
              <w:rPr>
                <w:rFonts w:ascii="Arial" w:hAnsi="Arial" w:cs="Arial"/>
                <w:noProof/>
                <w:sz w:val="20"/>
                <w:szCs w:val="20"/>
              </w:rPr>
              <w:t>u</w:t>
            </w:r>
            <w:r w:rsidRPr="00F41B75">
              <w:rPr>
                <w:rFonts w:ascii="Arial" w:hAnsi="Arial" w:cs="Arial"/>
                <w:noProof/>
                <w:sz w:val="20"/>
                <w:szCs w:val="20"/>
              </w:rPr>
              <w:t xml:space="preserve"> onkogénu -bcl-Xi, čo je antiapoptotický proteín. </w:t>
            </w:r>
          </w:p>
          <w:p w:rsid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 1 Signálna dráha JAK-STAT</w:t>
            </w:r>
          </w:p>
          <w:p w:rsidR="00F41B75" w:rsidRPr="00F41B75" w:rsidRDefault="00F41B75" w:rsidP="00F41B75">
            <w:pPr>
              <w:spacing w:after="120"/>
              <w:ind w:left="1418"/>
              <w:jc w:val="both"/>
              <w:rPr>
                <w:rFonts w:ascii="Arial" w:hAnsi="Arial" w:cs="Arial"/>
                <w:noProof/>
                <w:sz w:val="20"/>
                <w:szCs w:val="20"/>
              </w:rPr>
            </w:pPr>
            <w:r w:rsidRPr="00F41B75">
              <w:rPr>
                <w:noProof/>
                <w:lang w:val="en-US" w:eastAsia="en-US"/>
              </w:rPr>
              <w:lastRenderedPageBreak/>
              <w:drawing>
                <wp:inline distT="0" distB="0" distL="0" distR="0" wp14:anchorId="6DB6EE24" wp14:editId="1DDAD1EB">
                  <wp:extent cx="2567940" cy="3093720"/>
                  <wp:effectExtent l="0" t="0" r="381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589444" cy="3119627"/>
                          </a:xfrm>
                          <a:prstGeom prst="rect">
                            <a:avLst/>
                          </a:prstGeom>
                        </pic:spPr>
                      </pic:pic>
                    </a:graphicData>
                  </a:graphic>
                </wp:inline>
              </w:drawing>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rPr>
                <w:rFonts w:ascii="Arial" w:hAnsi="Arial" w:cs="Arial"/>
                <w:noProof/>
                <w:sz w:val="20"/>
                <w:szCs w:val="20"/>
              </w:rPr>
            </w:pPr>
          </w:p>
          <w:p w:rsidR="00F41B75" w:rsidRPr="00F41B75" w:rsidRDefault="00F41B75" w:rsidP="00681311">
            <w:pPr>
              <w:jc w:val="both"/>
              <w:rPr>
                <w:rFonts w:ascii="Arial" w:hAnsi="Arial" w:cs="Arial"/>
                <w:noProof/>
                <w:sz w:val="20"/>
                <w:szCs w:val="20"/>
              </w:rPr>
            </w:pPr>
            <w:r w:rsidRPr="00F41B75">
              <w:rPr>
                <w:rFonts w:ascii="Arial" w:hAnsi="Arial" w:cs="Arial"/>
                <w:noProof/>
                <w:sz w:val="20"/>
                <w:szCs w:val="20"/>
              </w:rPr>
              <w:t>Klinické príznaky vyplývajú zo zvýšeného počtu krvných elementov. U 50% chorých sú v popredí klinických ťažkostí bolesti hlavy, akvagénny pruritus (obzvlášť po horúcom kúpeli) a únava. Približne tretina udáva dušnosť, závrate hlavy, tinnitus, zmeny videnia, stratu hmotnosti, epigastrickú bolesť, zvýšené potenie alebo bolestivé parestézie a začervenenie rúk a nôh (erytromelalgia). Zhruba 15% pacientov udáva arteriálnu, menej často žilovú tromboembolickú príhodu. Približne 20% pacientov s PV sa prezentuje trombotickou komplikáciou veľkej cievy, ako je tranzitó</w:t>
            </w:r>
            <w:r w:rsidR="00681311">
              <w:rPr>
                <w:rFonts w:ascii="Arial" w:hAnsi="Arial" w:cs="Arial"/>
                <w:noProof/>
                <w:sz w:val="20"/>
                <w:szCs w:val="20"/>
              </w:rPr>
              <w:t>rn</w:t>
            </w:r>
            <w:r w:rsidRPr="00F41B75">
              <w:rPr>
                <w:rFonts w:ascii="Arial" w:hAnsi="Arial" w:cs="Arial"/>
                <w:noProof/>
                <w:sz w:val="20"/>
                <w:szCs w:val="20"/>
              </w:rPr>
              <w:t>a ischemická príhoda, cerebrovaskuláma príhoda, infarkt myokardu, hlboká žilová trombóza alebo trombóza hepatálnych žíl. Na PV treba myslieť, keď nie je trombóza vyprovokovaná a postihuje nezvyčajné miesta (napr. mesenterické žily). Vnútrobrušná žilová trombóza je obzvlášť častá a náhle uzavretie pečeňovej vény môže mať veľmi vážne následky. V dobe diagnózy býva častá epistaxa (u 15-20% chorých) a GIT krvácanie (okolo 5%).</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Pri fyzikálnom vyšetrení sa môže zistiť splenomegália (50-80%), pletora tváre a spojiviek (cca 60%) (obr. č. </w:t>
            </w:r>
            <w:r w:rsidR="00673D6C">
              <w:rPr>
                <w:rFonts w:ascii="Arial" w:hAnsi="Arial" w:cs="Arial"/>
                <w:noProof/>
                <w:sz w:val="20"/>
                <w:szCs w:val="20"/>
              </w:rPr>
              <w:t>2</w:t>
            </w:r>
            <w:r w:rsidRPr="00F41B75">
              <w:rPr>
                <w:rFonts w:ascii="Arial" w:hAnsi="Arial" w:cs="Arial"/>
                <w:noProof/>
                <w:sz w:val="20"/>
                <w:szCs w:val="20"/>
              </w:rPr>
              <w:t>), systolická hypertenzia (cca 50%), hepatomegália (&lt;50%).</w:t>
            </w:r>
          </w:p>
          <w:p w:rsidR="00F41B75" w:rsidRPr="00F41B75" w:rsidRDefault="00F41B75" w:rsidP="00F41B75">
            <w:pPr>
              <w:jc w:val="both"/>
              <w:rPr>
                <w:rFonts w:ascii="Arial" w:hAnsi="Arial" w:cs="Arial"/>
                <w:noProof/>
                <w:sz w:val="20"/>
                <w:szCs w:val="20"/>
              </w:rPr>
            </w:pPr>
          </w:p>
          <w:p w:rsidR="00F41B75" w:rsidRPr="00F41B75" w:rsidRDefault="00F41B75" w:rsidP="00F41B75">
            <w:pPr>
              <w:rPr>
                <w:rFonts w:ascii="Arial" w:hAnsi="Arial" w:cs="Arial"/>
                <w:noProof/>
                <w:sz w:val="20"/>
                <w:szCs w:val="20"/>
              </w:rPr>
            </w:pPr>
          </w:p>
          <w:p w:rsidR="00F41B75" w:rsidRDefault="00F41B75" w:rsidP="00F41B75">
            <w:pPr>
              <w:rPr>
                <w:rFonts w:ascii="Arial" w:hAnsi="Arial" w:cs="Arial"/>
                <w:noProof/>
                <w:sz w:val="20"/>
                <w:szCs w:val="20"/>
              </w:rPr>
            </w:pPr>
          </w:p>
          <w:p w:rsidR="00962608" w:rsidRPr="00F41B75" w:rsidRDefault="00962608" w:rsidP="00F41B75">
            <w:pPr>
              <w:rPr>
                <w:rFonts w:ascii="Arial" w:hAnsi="Arial" w:cs="Arial"/>
                <w:noProof/>
                <w:sz w:val="20"/>
                <w:szCs w:val="20"/>
              </w:rPr>
            </w:pPr>
          </w:p>
          <w:p w:rsidR="00F41B75" w:rsidRPr="00F41B75" w:rsidRDefault="00F41B75" w:rsidP="00F41B75">
            <w:pPr>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2  </w:t>
            </w:r>
            <w:r w:rsidRPr="00F41B75">
              <w:rPr>
                <w:rFonts w:ascii="Arial" w:hAnsi="Arial" w:cs="Arial"/>
                <w:noProof/>
                <w:sz w:val="20"/>
                <w:szCs w:val="20"/>
              </w:rPr>
              <w:t>Pletora tváre u pacienta s PV</w:t>
            </w:r>
          </w:p>
          <w:p w:rsidR="00F41B75" w:rsidRPr="00F41B75" w:rsidRDefault="00F41B75" w:rsidP="00F41B75">
            <w:pPr>
              <w:ind w:left="1418"/>
              <w:rPr>
                <w:rFonts w:ascii="Arial" w:hAnsi="Arial" w:cs="Arial"/>
                <w:noProof/>
                <w:sz w:val="20"/>
                <w:szCs w:val="20"/>
              </w:rPr>
            </w:pPr>
            <w:r w:rsidRPr="00F41B75">
              <w:rPr>
                <w:noProof/>
                <w:lang w:val="en-US" w:eastAsia="en-US"/>
              </w:rPr>
              <w:drawing>
                <wp:inline distT="0" distB="0" distL="0" distR="0" wp14:anchorId="6EB3DB24" wp14:editId="04EAEBD1">
                  <wp:extent cx="2390476" cy="1704762"/>
                  <wp:effectExtent l="0" t="0" r="0" b="0"/>
                  <wp:docPr id="5"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390476" cy="1704762"/>
                          </a:xfrm>
                          <a:prstGeom prst="rect">
                            <a:avLst/>
                          </a:prstGeom>
                        </pic:spPr>
                      </pic:pic>
                    </a:graphicData>
                  </a:graphic>
                </wp:inline>
              </w:drawing>
            </w:r>
          </w:p>
          <w:p w:rsidR="00F41B75" w:rsidRPr="00F41B75" w:rsidRDefault="00F41B75" w:rsidP="00F41B75">
            <w:pPr>
              <w:rPr>
                <w:rFonts w:ascii="Arial" w:hAnsi="Arial" w:cs="Arial"/>
                <w:noProof/>
                <w:sz w:val="20"/>
                <w:szCs w:val="20"/>
              </w:rPr>
            </w:pPr>
          </w:p>
          <w:p w:rsidR="00F41B75" w:rsidRPr="00F41B75" w:rsidRDefault="00F41B75" w:rsidP="00F41B75">
            <w:pPr>
              <w:rPr>
                <w:rFonts w:ascii="Arial" w:hAnsi="Arial" w:cs="Arial"/>
                <w:noProof/>
                <w:sz w:val="20"/>
                <w:szCs w:val="20"/>
              </w:rPr>
            </w:pPr>
          </w:p>
          <w:p w:rsidR="00F41B75" w:rsidRDefault="00F41B75" w:rsidP="00F41B75">
            <w:pPr>
              <w:rPr>
                <w:rFonts w:ascii="Arial" w:hAnsi="Arial" w:cs="Arial"/>
                <w:noProof/>
                <w:sz w:val="20"/>
                <w:szCs w:val="20"/>
              </w:rPr>
            </w:pPr>
          </w:p>
          <w:p w:rsidR="00673D6C" w:rsidRDefault="00673D6C" w:rsidP="00F41B75">
            <w:pPr>
              <w:rPr>
                <w:rFonts w:ascii="Arial" w:hAnsi="Arial" w:cs="Arial"/>
                <w:noProof/>
                <w:sz w:val="20"/>
                <w:szCs w:val="20"/>
              </w:rPr>
            </w:pPr>
          </w:p>
          <w:p w:rsidR="00673D6C" w:rsidRDefault="00673D6C" w:rsidP="00F41B75">
            <w:pPr>
              <w:rPr>
                <w:rFonts w:ascii="Arial" w:hAnsi="Arial" w:cs="Arial"/>
                <w:noProof/>
                <w:sz w:val="20"/>
                <w:szCs w:val="20"/>
              </w:rPr>
            </w:pPr>
          </w:p>
          <w:p w:rsidR="00673D6C" w:rsidRDefault="00673D6C" w:rsidP="00F41B75">
            <w:pPr>
              <w:rPr>
                <w:rFonts w:ascii="Arial" w:hAnsi="Arial" w:cs="Arial"/>
                <w:noProof/>
                <w:sz w:val="20"/>
                <w:szCs w:val="20"/>
              </w:rPr>
            </w:pPr>
          </w:p>
          <w:p w:rsidR="00673D6C" w:rsidRPr="00F41B75" w:rsidRDefault="00673D6C" w:rsidP="00F41B75">
            <w:pPr>
              <w:rPr>
                <w:rFonts w:ascii="Arial" w:hAnsi="Arial" w:cs="Arial"/>
                <w:noProof/>
                <w:sz w:val="20"/>
                <w:szCs w:val="20"/>
              </w:rPr>
            </w:pPr>
          </w:p>
          <w:p w:rsidR="00F41B75" w:rsidRPr="00F41B75" w:rsidRDefault="00F41B75" w:rsidP="00F41B75">
            <w:pPr>
              <w:rPr>
                <w:rFonts w:ascii="Arial" w:hAnsi="Arial" w:cs="Arial"/>
                <w:i/>
                <w:noProof/>
                <w:sz w:val="20"/>
                <w:szCs w:val="20"/>
              </w:rPr>
            </w:pPr>
            <w:r w:rsidRPr="00F41B75">
              <w:rPr>
                <w:rFonts w:ascii="Arial" w:hAnsi="Arial" w:cs="Arial"/>
                <w:i/>
                <w:noProof/>
                <w:sz w:val="20"/>
                <w:szCs w:val="20"/>
              </w:rPr>
              <w:t>Súčasné terapeutické možnosti</w:t>
            </w:r>
          </w:p>
          <w:p w:rsidR="00F41B75" w:rsidRPr="00F41B75" w:rsidRDefault="00F41B75" w:rsidP="00F41B75">
            <w:pPr>
              <w:rPr>
                <w:rFonts w:ascii="Arial" w:hAnsi="Arial" w:cs="Arial"/>
                <w:noProof/>
                <w:sz w:val="20"/>
                <w:szCs w:val="20"/>
              </w:rPr>
            </w:pPr>
          </w:p>
          <w:p w:rsidR="00F41B75" w:rsidRPr="00F41B75" w:rsidRDefault="00F41B75" w:rsidP="00F41B75">
            <w:pPr>
              <w:jc w:val="both"/>
              <w:rPr>
                <w:rFonts w:ascii="Arial" w:hAnsi="Arial" w:cs="Arial"/>
                <w:noProof/>
                <w:sz w:val="20"/>
                <w:szCs w:val="20"/>
              </w:rPr>
            </w:pPr>
            <w:r w:rsidRPr="00F41B75">
              <w:rPr>
                <w:rFonts w:ascii="Arial" w:hAnsi="Arial" w:cs="Arial"/>
                <w:b/>
                <w:noProof/>
                <w:sz w:val="20"/>
                <w:szCs w:val="20"/>
              </w:rPr>
              <w:t>Flebotómia</w:t>
            </w:r>
            <w:r w:rsidRPr="00F41B75">
              <w:rPr>
                <w:rFonts w:ascii="Arial" w:hAnsi="Arial" w:cs="Arial"/>
                <w:noProof/>
                <w:sz w:val="20"/>
                <w:szCs w:val="20"/>
              </w:rPr>
              <w:t xml:space="preserve"> (venesekcia) ostáva hlavnou liečbou PV. Cieľom je dosiahnuť Hkt &lt;45% u mužov, &lt;42% u žien, &lt;37% v neskoršej fáze gravidity. Udržovanie Hb pod 140 g/l u mužov a pod 120 g/l u žien predchádza trombotickým komplikáciám. </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Asymptomatická trombocytóza nevyžaduje liečbu. Symptomatická trombocytóza alebo splenomegália sa môžu liečiť </w:t>
            </w:r>
            <w:r w:rsidRPr="00F41B75">
              <w:rPr>
                <w:rFonts w:ascii="Arial" w:hAnsi="Arial" w:cs="Arial"/>
                <w:b/>
                <w:noProof/>
                <w:sz w:val="20"/>
                <w:szCs w:val="20"/>
              </w:rPr>
              <w:t>hydroxyureou</w:t>
            </w:r>
            <w:r w:rsidRPr="00F41B75">
              <w:rPr>
                <w:rFonts w:ascii="Arial" w:hAnsi="Arial" w:cs="Arial"/>
                <w:noProof/>
                <w:sz w:val="20"/>
                <w:szCs w:val="20"/>
              </w:rPr>
              <w:t xml:space="preserve"> (HU) alebo </w:t>
            </w:r>
            <w:r w:rsidRPr="00F41B75">
              <w:rPr>
                <w:rFonts w:ascii="Arial" w:hAnsi="Arial" w:cs="Arial"/>
                <w:b/>
                <w:noProof/>
                <w:sz w:val="20"/>
                <w:szCs w:val="20"/>
              </w:rPr>
              <w:t>interferónom alfa</w:t>
            </w:r>
            <w:r w:rsidRPr="00F41B75">
              <w:rPr>
                <w:rFonts w:ascii="Arial" w:hAnsi="Arial" w:cs="Arial"/>
                <w:noProof/>
                <w:sz w:val="20"/>
                <w:szCs w:val="20"/>
              </w:rPr>
              <w:t xml:space="preserve"> (IFN-a), ktoré môžu viesť k významným vedľajším účinkom alebo postupne strácajú svoju účinnosť. </w:t>
            </w:r>
            <w:r w:rsidRPr="00F41B75">
              <w:rPr>
                <w:rFonts w:ascii="Arial" w:hAnsi="Arial" w:cs="Arial"/>
                <w:b/>
                <w:noProof/>
                <w:sz w:val="20"/>
                <w:szCs w:val="20"/>
              </w:rPr>
              <w:t>Anagrelid</w:t>
            </w:r>
            <w:r w:rsidRPr="00F41B75">
              <w:rPr>
                <w:rFonts w:ascii="Arial" w:hAnsi="Arial" w:cs="Arial"/>
                <w:noProof/>
                <w:sz w:val="20"/>
                <w:szCs w:val="20"/>
              </w:rPr>
              <w:t xml:space="preserve"> môže kontolovať trombocytózu. Zníženie počtu Tr môže byť potrebné pri manažovaní erytromelalgie, ak neúčinkujú salicyláty alebo ak trombocytóza súvisí s migrenóznymi symptómami. Najvyššou prioritou liečby je vždy zníženie masy Er. Ak sa erytrocytóza nekontroluje, môže viesť k vnútrožilovej trombóze postihujúcej vitálne orgány ako pečeň, srdce, mozog alebo pľúca. Pacienti s veľkou splenomegáliou sú obzvlášť náklonní na trombotické príhody, pretože zvýšený objem plazmy maskuje rozsah zvýšenia masy Er pri yšetrení Hb alebo Hkt. </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Generalizovaný pruritus zvyčajne neodpovedá na flebotómie a aspirín. V prípade neúčinnosti </w:t>
            </w:r>
            <w:r w:rsidRPr="00F41B75">
              <w:rPr>
                <w:rFonts w:ascii="Arial" w:hAnsi="Arial" w:cs="Arial"/>
                <w:b/>
                <w:noProof/>
                <w:sz w:val="20"/>
                <w:szCs w:val="20"/>
              </w:rPr>
              <w:t>antihistaminík</w:t>
            </w:r>
            <w:r w:rsidRPr="00F41B75">
              <w:rPr>
                <w:rFonts w:ascii="Arial" w:hAnsi="Arial" w:cs="Arial"/>
                <w:noProof/>
                <w:sz w:val="20"/>
                <w:szCs w:val="20"/>
              </w:rPr>
              <w:t xml:space="preserve"> sa podáva hydroxyurea, IFN-a a psoralen s ultrafialovým svetlom A (PUVA). </w:t>
            </w:r>
          </w:p>
          <w:p w:rsidR="00F41B75" w:rsidRPr="00F41B75" w:rsidRDefault="00F41B75" w:rsidP="00F41B75">
            <w:pPr>
              <w:jc w:val="both"/>
              <w:rPr>
                <w:rFonts w:ascii="Arial" w:hAnsi="Arial" w:cs="Arial"/>
                <w:noProof/>
                <w:sz w:val="20"/>
                <w:szCs w:val="20"/>
              </w:rPr>
            </w:pPr>
            <w:r w:rsidRPr="00F41B75">
              <w:rPr>
                <w:rFonts w:ascii="Arial" w:hAnsi="Arial" w:cs="Arial"/>
                <w:b/>
                <w:noProof/>
                <w:sz w:val="20"/>
                <w:szCs w:val="20"/>
              </w:rPr>
              <w:t>Salicyláty</w:t>
            </w:r>
            <w:r w:rsidRPr="00F41B75">
              <w:rPr>
                <w:rFonts w:ascii="Arial" w:hAnsi="Arial" w:cs="Arial"/>
                <w:noProof/>
                <w:sz w:val="20"/>
                <w:szCs w:val="20"/>
              </w:rPr>
              <w:t xml:space="preserve"> sa používajú pri liečbe erytromelalgie. Ak je indikovaná chemoterapia (na zmenšenie splenomegálie alebo pruritu pri leukocytóze), uprednostňuje sa </w:t>
            </w:r>
            <w:r w:rsidRPr="00F41B75">
              <w:rPr>
                <w:rFonts w:ascii="Arial" w:hAnsi="Arial" w:cs="Arial"/>
                <w:b/>
                <w:noProof/>
                <w:sz w:val="20"/>
                <w:szCs w:val="20"/>
              </w:rPr>
              <w:t>hydroxyurea</w:t>
            </w:r>
            <w:r w:rsidRPr="00F41B75">
              <w:rPr>
                <w:rFonts w:ascii="Arial" w:hAnsi="Arial" w:cs="Arial"/>
                <w:noProof/>
                <w:sz w:val="20"/>
                <w:szCs w:val="20"/>
              </w:rPr>
              <w:t xml:space="preserve">. Chemoterapia sa má použiť čo najkratšie, pri chronickom použití môže byť leukemogénna. U niektorých chorých, masívna splenomegália neodpovedajúca na hydroxyureu alebo IFN-a, spojená s nekontrolovanou stratou hmotnosti, vyžaduje </w:t>
            </w:r>
            <w:r w:rsidRPr="00F41B75">
              <w:rPr>
                <w:rFonts w:ascii="Arial" w:hAnsi="Arial" w:cs="Arial"/>
                <w:b/>
                <w:noProof/>
                <w:sz w:val="20"/>
                <w:szCs w:val="20"/>
              </w:rPr>
              <w:t>splenektómiu</w:t>
            </w:r>
            <w:r w:rsidRPr="00F41B75">
              <w:rPr>
                <w:rFonts w:ascii="Arial" w:hAnsi="Arial" w:cs="Arial"/>
                <w:noProof/>
                <w:sz w:val="20"/>
                <w:szCs w:val="20"/>
              </w:rPr>
              <w:t xml:space="preserve">.  </w:t>
            </w:r>
          </w:p>
          <w:p w:rsidR="00F41B75" w:rsidRDefault="00F41B75"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Default="00962608" w:rsidP="00F41B75">
            <w:pPr>
              <w:jc w:val="both"/>
              <w:rPr>
                <w:rFonts w:ascii="Arial" w:hAnsi="Arial" w:cs="Arial"/>
                <w:noProof/>
                <w:sz w:val="20"/>
                <w:szCs w:val="20"/>
              </w:rPr>
            </w:pPr>
          </w:p>
          <w:p w:rsidR="00962608" w:rsidRPr="00F41B75" w:rsidRDefault="00962608" w:rsidP="00F41B75">
            <w:pPr>
              <w:jc w:val="both"/>
              <w:rPr>
                <w:rFonts w:ascii="Arial" w:hAnsi="Arial" w:cs="Arial"/>
                <w:noProof/>
                <w:sz w:val="20"/>
                <w:szCs w:val="20"/>
              </w:rPr>
            </w:pPr>
          </w:p>
          <w:p w:rsidR="00F41B75" w:rsidRDefault="00F41B75" w:rsidP="00F41B75">
            <w:pPr>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3  </w:t>
            </w:r>
            <w:r w:rsidRPr="00F41B75">
              <w:rPr>
                <w:rFonts w:ascii="Arial" w:hAnsi="Arial" w:cs="Arial"/>
                <w:noProof/>
                <w:sz w:val="20"/>
                <w:szCs w:val="20"/>
              </w:rPr>
              <w:t>Odporúčaný algoritmus liečby pacientov s</w:t>
            </w:r>
            <w:r w:rsidR="00122A54">
              <w:rPr>
                <w:rFonts w:ascii="Arial" w:hAnsi="Arial" w:cs="Arial"/>
                <w:noProof/>
                <w:sz w:val="20"/>
                <w:szCs w:val="20"/>
              </w:rPr>
              <w:t> </w:t>
            </w:r>
            <w:r w:rsidRPr="00F41B75">
              <w:rPr>
                <w:rFonts w:ascii="Arial" w:hAnsi="Arial" w:cs="Arial"/>
                <w:noProof/>
                <w:sz w:val="20"/>
                <w:szCs w:val="20"/>
              </w:rPr>
              <w:t>PV</w:t>
            </w:r>
          </w:p>
          <w:p w:rsidR="00122A54" w:rsidRDefault="00122A54" w:rsidP="00F41B75">
            <w:pPr>
              <w:rPr>
                <w:rFonts w:ascii="Arial" w:hAnsi="Arial" w:cs="Arial"/>
                <w:noProof/>
                <w:sz w:val="20"/>
                <w:szCs w:val="20"/>
              </w:rPr>
            </w:pPr>
          </w:p>
          <w:p w:rsidR="00122A54" w:rsidRPr="00F41B75" w:rsidRDefault="00122A54" w:rsidP="00F41B75">
            <w:pPr>
              <w:rPr>
                <w:rFonts w:ascii="Arial" w:hAnsi="Arial" w:cs="Arial"/>
                <w:noProof/>
                <w:sz w:val="20"/>
                <w:szCs w:val="20"/>
              </w:rPr>
            </w:pPr>
            <w:r>
              <w:rPr>
                <w:noProof/>
                <w:lang w:val="en-US" w:eastAsia="en-US"/>
              </w:rPr>
              <w:lastRenderedPageBreak/>
              <w:drawing>
                <wp:inline distT="0" distB="0" distL="0" distR="0" wp14:anchorId="32CA4CC2" wp14:editId="15EF71D7">
                  <wp:extent cx="3695700" cy="3120728"/>
                  <wp:effectExtent l="0" t="0" r="0" b="3810"/>
                  <wp:docPr id="2" name="Picture 2" descr="An external file that holds a picture, illustration, etc.&#10;Object name is 277_2015_2357_Fig1_HTM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n external file that holds a picture, illustration, etc.&#10;Object name is 277_2015_2357_Fig1_HTML.jpg"/>
                          <pic:cNvPicPr>
                            <a:picLocks noChangeAspect="1" noChangeArrowheads="1"/>
                          </pic:cNvPicPr>
                        </pic:nvPicPr>
                        <pic:blipFill>
                          <a:blip r:embed="rId14">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702327" cy="3126324"/>
                          </a:xfrm>
                          <a:prstGeom prst="rect">
                            <a:avLst/>
                          </a:prstGeom>
                          <a:noFill/>
                          <a:ln>
                            <a:noFill/>
                          </a:ln>
                        </pic:spPr>
                      </pic:pic>
                    </a:graphicData>
                  </a:graphic>
                </wp:inline>
              </w:drawing>
            </w:r>
          </w:p>
          <w:p w:rsidR="00F41B75" w:rsidRPr="00F41B75" w:rsidRDefault="00F41B75" w:rsidP="00F41B75">
            <w:pPr>
              <w:rPr>
                <w:rFonts w:ascii="Arial" w:hAnsi="Arial" w:cs="Arial"/>
                <w:noProof/>
                <w:sz w:val="20"/>
                <w:szCs w:val="20"/>
              </w:rPr>
            </w:pPr>
          </w:p>
          <w:p w:rsidR="00F41B75" w:rsidRPr="00F41B75" w:rsidRDefault="00F41B75" w:rsidP="00F41B75">
            <w:pPr>
              <w:rPr>
                <w:rFonts w:ascii="Arial" w:hAnsi="Arial" w:cs="Arial"/>
                <w:i/>
                <w:noProof/>
                <w:sz w:val="18"/>
                <w:szCs w:val="20"/>
              </w:rPr>
            </w:pPr>
            <w:r w:rsidRPr="00F41B75">
              <w:rPr>
                <w:rFonts w:ascii="Arial" w:hAnsi="Arial" w:cs="Arial"/>
                <w:i/>
                <w:noProof/>
                <w:sz w:val="18"/>
                <w:szCs w:val="20"/>
              </w:rPr>
              <w:t>Zdroj: Griesshammer M., 2015</w:t>
            </w:r>
          </w:p>
          <w:p w:rsidR="00F41B75" w:rsidRPr="00F41B75" w:rsidRDefault="00F41B75" w:rsidP="00F41B75">
            <w:pPr>
              <w:rPr>
                <w:rFonts w:ascii="Arial" w:hAnsi="Arial" w:cs="Arial"/>
                <w:noProof/>
                <w:sz w:val="20"/>
                <w:szCs w:val="20"/>
              </w:rPr>
            </w:pPr>
          </w:p>
          <w:p w:rsidR="00F41B75" w:rsidRPr="00F41B75" w:rsidRDefault="00F41B75" w:rsidP="00F41B75">
            <w:pPr>
              <w:rPr>
                <w:rFonts w:ascii="Arial" w:hAnsi="Arial" w:cs="Arial"/>
                <w:noProof/>
                <w:sz w:val="20"/>
                <w:szCs w:val="20"/>
              </w:rPr>
            </w:pPr>
          </w:p>
          <w:p w:rsidR="00F41B75" w:rsidRPr="00F41B75" w:rsidRDefault="00F41B75" w:rsidP="00F41B75">
            <w:pPr>
              <w:rPr>
                <w:rFonts w:ascii="Arial" w:hAnsi="Arial" w:cs="Arial"/>
                <w:noProof/>
                <w:sz w:val="20"/>
                <w:szCs w:val="20"/>
              </w:rPr>
            </w:pPr>
          </w:p>
          <w:p w:rsidR="00F41B75" w:rsidRPr="00F41B75" w:rsidRDefault="00F41B75" w:rsidP="00F41B75">
            <w:pPr>
              <w:rPr>
                <w:rFonts w:ascii="Arial" w:hAnsi="Arial" w:cs="Arial"/>
                <w:i/>
                <w:noProof/>
                <w:sz w:val="20"/>
                <w:szCs w:val="20"/>
              </w:rPr>
            </w:pPr>
            <w:r w:rsidRPr="00F41B75">
              <w:rPr>
                <w:rFonts w:ascii="Arial" w:hAnsi="Arial" w:cs="Arial"/>
                <w:i/>
                <w:noProof/>
                <w:sz w:val="20"/>
                <w:szCs w:val="20"/>
              </w:rPr>
              <w:t>Nenaplnená medicínska potreba</w:t>
            </w:r>
          </w:p>
          <w:p w:rsidR="00F41B75" w:rsidRPr="00F41B75" w:rsidRDefault="00F41B75" w:rsidP="00F41B75">
            <w:pPr>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PV je chronické progresívne ochorenie, charakterizované nadmernou bunkovou proliferáciou, klinickými príznakmi znižujúcimi kvalitu života pacienta a ťažkými komplikáciami. Komplikácie ochorenia (splenomegália, vysoké riziko trombózy) ako aj ďalšie faktory (pokročilý vek, vážne nežiadúce účinky súvisiace s liečbou, rezistencia na liečbu) sú spojené so zvýšeným rizikom progresie ochorenia do myelfibrózy a akútnej myeloidnej leukémie a znížením doby celkového prežívania.</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Väčšina v súčasnosti odporúčaných a v praxi používaných terapeutických metód (napr. interferóny, hydroxyurea, busulfán) nebola hodnotená v randomizovaných kontrolovaných štúdiách. Okrem toho dostupné údaje a poznatky naznačujú, že mnohé z uvedených liekov, štandardne používaných v terapii PV, spôsobujú závažné vedľajšie účinky alebo sa stávajú neúčinnými. Všetky terapeutické stratégie majú paliatívny charakter a zameriavajú sa predovšetkým na ovplyvnenie symptómov a nie na základnú príčinu ochorenia.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Je zrejmé, že nenaplnenou medicínskou potrebou u pacientov s PV je liečba, ktorá by zabezpečila bezpečnosť, dlhodobú účinnosť, zlepšenie kvality života pacienta, a to najmä v prípadoch, kde predchádzajúca liečba nebola účinná alebo nebola pacientom tolerovaná.</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Uvedenú nenaplnenú medicínsku potrebu napĺňa ruxolitinib; jeho bezpečnosť a účinnosť bola dokázaná v klinických štúdiach.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Výsledky klinických štúdií fázy III ukázali, že pacienti liečení ruxolitinibom vykazujú signifikantnú remisiu erytrocytózy, redukciu splenomegálie a zlepšenie symptómov, ktoré znižujú kvalitu života pacienta. Svojím jedinečným mechanizmom účinku spôsobuje inhibíciu JAK/STAT dráhy a tým etiologicky ovplyvňuje kritický bod v procese PV – nadmernú proliferáciu krvných buniek. </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rPr>
                <w:rFonts w:ascii="Arial" w:hAnsi="Arial" w:cs="Arial"/>
                <w:i/>
                <w:noProof/>
                <w:sz w:val="20"/>
                <w:szCs w:val="20"/>
              </w:rPr>
            </w:pPr>
            <w:bookmarkStart w:id="2" w:name="_Hlk509686699"/>
            <w:bookmarkEnd w:id="2"/>
            <w:r w:rsidRPr="00F41B75">
              <w:rPr>
                <w:rFonts w:ascii="Arial" w:hAnsi="Arial" w:cs="Arial"/>
                <w:i/>
                <w:noProof/>
                <w:sz w:val="20"/>
                <w:szCs w:val="20"/>
              </w:rPr>
              <w:t>Mechanizmus účinku JAKAVI</w:t>
            </w:r>
          </w:p>
          <w:p w:rsidR="00F41B75" w:rsidRPr="00F41B75" w:rsidRDefault="00F41B75" w:rsidP="00F41B75">
            <w:pPr>
              <w:pStyle w:val="Zkladntext20"/>
              <w:shd w:val="clear" w:color="auto" w:fill="auto"/>
              <w:spacing w:after="120" w:line="259" w:lineRule="auto"/>
              <w:ind w:firstLine="0"/>
              <w:jc w:val="both"/>
              <w:rPr>
                <w:rFonts w:ascii="Arial" w:hAnsi="Arial" w:cs="Arial"/>
                <w:noProof/>
                <w:sz w:val="20"/>
                <w:szCs w:val="20"/>
              </w:rPr>
            </w:pPr>
            <w:r w:rsidRPr="00F41B75">
              <w:rPr>
                <w:rFonts w:ascii="Arial" w:hAnsi="Arial" w:cs="Arial"/>
                <w:noProof/>
                <w:sz w:val="20"/>
                <w:szCs w:val="20"/>
              </w:rPr>
              <w:t>Ruxolitinib je selektívny inhibítor Janusových kináz (JAK), JAK1 a JAK2 (IC</w:t>
            </w:r>
            <w:r w:rsidRPr="00F41B75">
              <w:rPr>
                <w:rStyle w:val="Zkladntext265pt"/>
                <w:rFonts w:ascii="Arial" w:hAnsi="Arial" w:cs="Arial"/>
                <w:noProof/>
                <w:sz w:val="20"/>
                <w:szCs w:val="20"/>
              </w:rPr>
              <w:t xml:space="preserve">50 </w:t>
            </w:r>
            <w:r w:rsidRPr="00F41B75">
              <w:rPr>
                <w:rFonts w:ascii="Arial" w:hAnsi="Arial" w:cs="Arial"/>
                <w:noProof/>
                <w:sz w:val="20"/>
                <w:szCs w:val="20"/>
              </w:rPr>
              <w:t>hodnoty 3,3 nM pre enzýmy JAK1 a 2,8 nM pre enzýmy JAK2). Tieto sprostredkujú signalizáciu mnohých cytokínov a rastových faktorov, ktoré sú dôležité pre hemopoézu a imunitné funkcie.</w:t>
            </w:r>
          </w:p>
          <w:p w:rsidR="00F41B75" w:rsidRPr="00F41B75" w:rsidRDefault="00F41B75" w:rsidP="00F41B75">
            <w:pPr>
              <w:pStyle w:val="Zkladntext20"/>
              <w:shd w:val="clear" w:color="auto" w:fill="auto"/>
              <w:spacing w:after="120" w:line="259" w:lineRule="auto"/>
              <w:ind w:firstLine="0"/>
              <w:jc w:val="both"/>
              <w:rPr>
                <w:rFonts w:ascii="Arial" w:hAnsi="Arial" w:cs="Arial"/>
                <w:noProof/>
                <w:sz w:val="20"/>
                <w:szCs w:val="20"/>
              </w:rPr>
            </w:pPr>
            <w:r w:rsidRPr="00F41B75">
              <w:rPr>
                <w:rFonts w:ascii="Arial" w:hAnsi="Arial" w:cs="Arial"/>
                <w:noProof/>
                <w:sz w:val="20"/>
                <w:szCs w:val="20"/>
              </w:rPr>
              <w:t xml:space="preserve">PV je myeloproliferatívne nádorové ochorenie, o ktorom je známe že súvisí s poruchou signalizácie </w:t>
            </w:r>
            <w:r w:rsidRPr="00F41B75">
              <w:rPr>
                <w:rFonts w:ascii="Arial" w:hAnsi="Arial" w:cs="Arial"/>
                <w:noProof/>
                <w:sz w:val="20"/>
                <w:szCs w:val="20"/>
              </w:rPr>
              <w:lastRenderedPageBreak/>
              <w:t>JAK1 a JAK2. Predpokladá sa že k základom týchto porúch patrí vysoká hladina cirkulujúcich cytokínov, ktoré aktivujú JAK-STAT dráhu, mutácie pridávajúce funkcie ako napr. JAK2V617F a utlmenie negatívnych regulačných mechanizmov. U &gt;95 % pacientov s PV sa vyskytujú aktivujúce mutácie JAK2 (V617F alebo exón 12).</w:t>
            </w:r>
          </w:p>
          <w:p w:rsidR="00F41B75" w:rsidRPr="00F41B75" w:rsidRDefault="00F41B75" w:rsidP="00F41B75">
            <w:pPr>
              <w:pStyle w:val="Zkladntext20"/>
              <w:shd w:val="clear" w:color="auto" w:fill="auto"/>
              <w:spacing w:after="120" w:line="259" w:lineRule="auto"/>
              <w:ind w:firstLine="0"/>
              <w:jc w:val="both"/>
              <w:rPr>
                <w:rFonts w:ascii="Arial" w:hAnsi="Arial" w:cs="Arial"/>
                <w:noProof/>
                <w:sz w:val="20"/>
                <w:szCs w:val="20"/>
              </w:rPr>
            </w:pPr>
            <w:r w:rsidRPr="00F41B75">
              <w:rPr>
                <w:rFonts w:ascii="Arial" w:hAnsi="Arial" w:cs="Arial"/>
                <w:noProof/>
                <w:sz w:val="20"/>
                <w:szCs w:val="20"/>
              </w:rPr>
              <w:t>Ruxolitinib inhibuje JAK-STAT signalizáciu a bunkovú proliferáciu bunkových modelov hematologických malignít závislých od cytokínov ako aj Ba/F3 buniek nezávislých od cytokínov expresiou JAK2V617F mutovaného proteínu, s hodnotou IC</w:t>
            </w:r>
            <w:r w:rsidRPr="00F41B75">
              <w:rPr>
                <w:rStyle w:val="Zkladntext265pt"/>
                <w:rFonts w:ascii="Arial" w:hAnsi="Arial" w:cs="Arial"/>
                <w:noProof/>
                <w:sz w:val="20"/>
                <w:szCs w:val="20"/>
              </w:rPr>
              <w:t xml:space="preserve">50 </w:t>
            </w:r>
            <w:r w:rsidRPr="00F41B75">
              <w:rPr>
                <w:rFonts w:ascii="Arial" w:hAnsi="Arial" w:cs="Arial"/>
                <w:noProof/>
                <w:sz w:val="20"/>
                <w:szCs w:val="20"/>
              </w:rPr>
              <w:t>v rozsahu 80 - 320 nM.</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i/>
                <w:noProof/>
                <w:sz w:val="20"/>
                <w:szCs w:val="20"/>
              </w:rPr>
            </w:pPr>
            <w:r w:rsidRPr="00F41B75">
              <w:rPr>
                <w:rFonts w:ascii="Arial" w:hAnsi="Arial" w:cs="Arial"/>
                <w:i/>
                <w:noProof/>
                <w:sz w:val="20"/>
                <w:szCs w:val="20"/>
              </w:rPr>
              <w:t>Klinické štúdie</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Účinnosť a bezpečnosť ruxolitinibu u pacientov s PV bola hodnotená v dvoch randomizovaných, otvorených, aktívne kontrolovaných klinických štúdiách: štúdia fázy III: RESPONSE a fázy IIIb: RESPONSE-2.</w:t>
            </w:r>
          </w:p>
          <w:p w:rsidR="00F41B75" w:rsidRPr="00F41B75" w:rsidRDefault="00F41B75" w:rsidP="00F41B75">
            <w:pPr>
              <w:spacing w:after="120"/>
              <w:jc w:val="both"/>
              <w:rPr>
                <w:rFonts w:ascii="Arial" w:hAnsi="Arial" w:cs="Arial"/>
                <w:b/>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RESPONSE</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Do štúdie bolo zaradených 222 dospelých pacientov vo veku 18 a viac rokov, so stanovenou diagnózou PV s rezistenciou alebo intoleranciou na liečbu hydroxyureou podľa kritérií medzinárodnej pracovnej skupiny European LeukemiaNet (ELN), vyžadovali flebotómiu a mali splenomegáliu.</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Pacienti boli randomizovaní do dvoch ramien: prvá skupina (110 pacientov) dostávala perorálnu liečbu ruxolitinibom v dávke 10 mg dvakrát denne, v druhom ramene 112 pacientov dostávalo najlepšiu dostupnú liečbu (BAT, best available therapy). </w:t>
            </w:r>
          </w:p>
          <w:p w:rsidR="00F41B75" w:rsidRPr="00F41B75" w:rsidRDefault="00F41B75" w:rsidP="00145148">
            <w:pPr>
              <w:spacing w:after="120"/>
              <w:jc w:val="both"/>
              <w:rPr>
                <w:rFonts w:ascii="Arial" w:hAnsi="Arial" w:cs="Arial"/>
                <w:noProof/>
                <w:sz w:val="20"/>
                <w:szCs w:val="20"/>
              </w:rPr>
            </w:pPr>
            <w:r w:rsidRPr="00F41B75">
              <w:rPr>
                <w:rFonts w:ascii="Arial" w:hAnsi="Arial" w:cs="Arial"/>
                <w:noProof/>
                <w:sz w:val="20"/>
                <w:szCs w:val="20"/>
              </w:rPr>
              <w:t>Vstupné demografické údaje, charakteristika ochorenia a predchádzajúca štandardná terapia boli v oboch ramenách porovnateľné (tab. č.</w:t>
            </w:r>
            <w:r w:rsidR="00673D6C">
              <w:rPr>
                <w:rFonts w:ascii="Arial" w:hAnsi="Arial" w:cs="Arial"/>
                <w:noProof/>
                <w:sz w:val="20"/>
                <w:szCs w:val="20"/>
              </w:rPr>
              <w:t xml:space="preserve"> </w:t>
            </w:r>
            <w:r w:rsidR="00145148">
              <w:rPr>
                <w:rFonts w:ascii="Arial" w:hAnsi="Arial" w:cs="Arial"/>
                <w:noProof/>
                <w:sz w:val="20"/>
                <w:szCs w:val="20"/>
              </w:rPr>
              <w:t>3</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145148" w:rsidP="00F41B75">
            <w:pPr>
              <w:spacing w:after="120"/>
              <w:jc w:val="both"/>
              <w:rPr>
                <w:rFonts w:ascii="Arial" w:hAnsi="Arial" w:cs="Arial"/>
                <w:noProof/>
                <w:sz w:val="20"/>
                <w:szCs w:val="20"/>
              </w:rPr>
            </w:pPr>
            <w:r>
              <w:rPr>
                <w:rFonts w:ascii="Arial" w:hAnsi="Arial" w:cs="Arial"/>
                <w:noProof/>
                <w:sz w:val="20"/>
                <w:szCs w:val="20"/>
              </w:rPr>
              <w:t>Tabuľka 3</w:t>
            </w:r>
            <w:r w:rsidR="00F41B75" w:rsidRPr="00F41B75">
              <w:rPr>
                <w:rFonts w:ascii="Arial" w:hAnsi="Arial" w:cs="Arial"/>
                <w:noProof/>
                <w:sz w:val="20"/>
                <w:szCs w:val="20"/>
              </w:rPr>
              <w:t xml:space="preserve"> Charakteristika pacientov zaradených do štúdie RESPONSE</w:t>
            </w:r>
          </w:p>
          <w:tbl>
            <w:tblPr>
              <w:tblStyle w:val="MediumGrid31"/>
              <w:tblW w:w="487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4971"/>
              <w:gridCol w:w="1901"/>
              <w:gridCol w:w="1898"/>
            </w:tblGrid>
            <w:tr w:rsidR="00F41B75" w:rsidRPr="00F41B75" w:rsidTr="00F41B75">
              <w:trPr>
                <w:cnfStyle w:val="100000000000" w:firstRow="1" w:lastRow="0" w:firstColumn="0" w:lastColumn="0" w:oddVBand="0" w:evenVBand="0" w:oddHBand="0" w:evenHBand="0" w:firstRowFirstColumn="0" w:firstRowLastColumn="0" w:lastRowFirstColumn="0" w:lastRowLastColumn="0"/>
                <w:trHeight w:val="449"/>
              </w:trPr>
              <w:tc>
                <w:tcPr>
                  <w:cnfStyle w:val="001000000000" w:firstRow="0" w:lastRow="0" w:firstColumn="1" w:lastColumn="0" w:oddVBand="0" w:evenVBand="0" w:oddHBand="0" w:evenHBand="0" w:firstRowFirstColumn="0" w:firstRowLastColumn="0" w:lastRowFirstColumn="0" w:lastRowLastColumn="0"/>
                  <w:tcW w:w="2834" w:type="pct"/>
                  <w:tcBorders>
                    <w:top w:val="none" w:sz="0" w:space="0" w:color="auto"/>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p>
              </w:tc>
              <w:tc>
                <w:tcPr>
                  <w:tcW w:w="1084" w:type="pct"/>
                  <w:tcBorders>
                    <w:top w:val="none" w:sz="0" w:space="0" w:color="auto"/>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 w:val="16"/>
                      <w:szCs w:val="16"/>
                      <w:lang w:val="sk-SK"/>
                    </w:rPr>
                  </w:pPr>
                  <w:r w:rsidRPr="00F41B75">
                    <w:rPr>
                      <w:rFonts w:ascii="Arial" w:hAnsi="Arial" w:cs="Arial"/>
                      <w:noProof/>
                      <w:color w:val="auto"/>
                      <w:sz w:val="16"/>
                      <w:szCs w:val="16"/>
                      <w:lang w:val="sk-SK"/>
                    </w:rPr>
                    <w:t>JAKAVI</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 w:val="16"/>
                      <w:szCs w:val="16"/>
                      <w:lang w:val="sk-SK"/>
                    </w:rPr>
                  </w:pPr>
                  <w:r w:rsidRPr="00F41B75">
                    <w:rPr>
                      <w:rFonts w:ascii="Arial" w:hAnsi="Arial" w:cs="Arial"/>
                      <w:noProof/>
                      <w:color w:val="auto"/>
                      <w:sz w:val="16"/>
                      <w:szCs w:val="16"/>
                      <w:lang w:val="sk-SK"/>
                    </w:rPr>
                    <w:t>n = 110</w:t>
                  </w:r>
                </w:p>
              </w:tc>
              <w:tc>
                <w:tcPr>
                  <w:tcW w:w="1082" w:type="pct"/>
                  <w:tcBorders>
                    <w:top w:val="none" w:sz="0" w:space="0" w:color="auto"/>
                    <w:left w:val="none" w:sz="0" w:space="0" w:color="auto"/>
                    <w:bottom w:val="none" w:sz="0" w:space="0" w:color="auto"/>
                    <w:right w:val="none" w:sz="0" w:space="0" w:color="auto"/>
                  </w:tcBorders>
                  <w:shd w:val="clear" w:color="auto" w:fill="auto"/>
                  <w:vAlign w:val="center"/>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 w:val="16"/>
                      <w:szCs w:val="16"/>
                      <w:lang w:val="sk-SK"/>
                    </w:rPr>
                  </w:pPr>
                  <w:r w:rsidRPr="00F41B75">
                    <w:rPr>
                      <w:rFonts w:ascii="Arial" w:hAnsi="Arial" w:cs="Arial"/>
                      <w:bCs w:val="0"/>
                      <w:noProof/>
                      <w:color w:val="auto"/>
                      <w:sz w:val="16"/>
                      <w:szCs w:val="16"/>
                      <w:lang w:val="sk-SK"/>
                    </w:rPr>
                    <w:t>BAT</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 w:val="16"/>
                      <w:szCs w:val="16"/>
                      <w:lang w:val="sk-SK"/>
                    </w:rPr>
                  </w:pPr>
                  <w:r w:rsidRPr="00F41B75">
                    <w:rPr>
                      <w:rFonts w:ascii="Arial" w:hAnsi="Arial" w:cs="Arial"/>
                      <w:bCs w:val="0"/>
                      <w:noProof/>
                      <w:color w:val="auto"/>
                      <w:sz w:val="16"/>
                      <w:szCs w:val="16"/>
                      <w:lang w:val="sk-SK"/>
                    </w:rPr>
                    <w:t xml:space="preserve">n = 112 </w:t>
                  </w:r>
                </w:p>
              </w:tc>
            </w:tr>
            <w:tr w:rsidR="00F41B75" w:rsidRPr="00F41B75" w:rsidTr="00F41B75">
              <w:trPr>
                <w:trHeight w:val="454"/>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Vek </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62,0 (34−90)</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60,0 (33−84)</w:t>
                  </w:r>
                </w:p>
              </w:tc>
            </w:tr>
            <w:tr w:rsidR="00F41B75" w:rsidRPr="00F41B75" w:rsidTr="00F41B75">
              <w:trPr>
                <w:trHeight w:val="680"/>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Pohlavie, n (%)</w:t>
                  </w:r>
                </w:p>
                <w:p w:rsidR="00F41B75" w:rsidRPr="00F41B75" w:rsidRDefault="00F41B75" w:rsidP="00F41B75">
                  <w:pPr>
                    <w:pStyle w:val="TableNormal1"/>
                    <w:ind w:left="-18"/>
                    <w:rPr>
                      <w:rFonts w:ascii="Arial" w:hAnsi="Arial" w:cs="Arial"/>
                      <w:bCs w:val="0"/>
                      <w:noProof/>
                      <w:sz w:val="16"/>
                      <w:szCs w:val="16"/>
                      <w:lang w:val="sk-SK"/>
                    </w:rPr>
                  </w:pPr>
                  <w:r w:rsidRPr="00F41B75">
                    <w:rPr>
                      <w:rFonts w:ascii="Arial" w:hAnsi="Arial" w:cs="Arial"/>
                      <w:b w:val="0"/>
                      <w:noProof/>
                      <w:color w:val="auto"/>
                      <w:sz w:val="16"/>
                      <w:szCs w:val="16"/>
                      <w:lang w:val="sk-SK"/>
                    </w:rPr>
                    <w:t xml:space="preserve">   Muži</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Ženy</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66 (60,0)</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44 (40,0)</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80 (71,4)</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32 (28,6)</w:t>
                  </w:r>
                </w:p>
              </w:tc>
            </w:tr>
            <w:tr w:rsidR="00F41B75" w:rsidRPr="00F41B75" w:rsidTr="00F41B75">
              <w:trPr>
                <w:trHeight w:val="454"/>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Čas trvania ochorenia (od stanovenia diagnózy PV), roky</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8,2 (0,5−36)</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9,3 (0,5−23)</w:t>
                  </w:r>
                </w:p>
              </w:tc>
            </w:tr>
            <w:tr w:rsidR="00F41B75" w:rsidRPr="00F41B75" w:rsidTr="00F41B75">
              <w:trPr>
                <w:trHeight w:val="454"/>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Trvanie predchádzajúcej liečby HU, roky</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3,1 (&lt;0,1−20,9)</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2,8 (&lt;0,1−20,9)</w:t>
                  </w:r>
                </w:p>
              </w:tc>
            </w:tr>
            <w:tr w:rsidR="00F41B75" w:rsidRPr="00F41B75" w:rsidTr="00F41B75">
              <w:trPr>
                <w:trHeight w:val="90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ECOG status, n (%)</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0</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1</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2</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76 (69,1)</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31 (28,2)</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 (2,7)</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77 (68,8)</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34 (30,4)</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 (0,9)</w:t>
                  </w:r>
                </w:p>
              </w:tc>
            </w:tr>
            <w:tr w:rsidR="00F41B75" w:rsidRPr="00F41B75" w:rsidTr="00F41B75">
              <w:trPr>
                <w:trHeight w:val="73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Dôvody prerušenia liečby HU, n (%)</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Neprijateľné vedľajšie účinky</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Nedostatočná odpoveď </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59 (53,6)</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51 (46,4)</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61 (54,5)</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51 (45,5)</w:t>
                  </w:r>
                </w:p>
              </w:tc>
            </w:tr>
            <w:tr w:rsidR="00F41B75" w:rsidRPr="00F41B75" w:rsidTr="00F41B75">
              <w:trPr>
                <w:trHeight w:val="340"/>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Predchádzajúca tromboembol. príhoda – počet pac., n (%)</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39 (35,5)</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33 (29,5)</w:t>
                  </w:r>
                </w:p>
              </w:tc>
            </w:tr>
            <w:tr w:rsidR="00F41B75" w:rsidRPr="00F41B75" w:rsidTr="00F41B75">
              <w:trPr>
                <w:trHeight w:val="510"/>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Prítomnosť </w:t>
                  </w:r>
                  <w:r w:rsidRPr="00F41B75">
                    <w:rPr>
                      <w:rFonts w:ascii="Arial" w:hAnsi="Arial" w:cs="Arial"/>
                      <w:b w:val="0"/>
                      <w:i/>
                      <w:noProof/>
                      <w:color w:val="auto"/>
                      <w:sz w:val="16"/>
                      <w:szCs w:val="16"/>
                      <w:lang w:val="sk-SK"/>
                    </w:rPr>
                    <w:t>JAK2</w:t>
                  </w:r>
                  <w:r w:rsidRPr="00F41B75">
                    <w:rPr>
                      <w:rFonts w:ascii="Arial" w:hAnsi="Arial" w:cs="Arial"/>
                      <w:b w:val="0"/>
                      <w:noProof/>
                      <w:color w:val="auto"/>
                      <w:sz w:val="16"/>
                      <w:szCs w:val="16"/>
                      <w:lang w:val="sk-SK"/>
                    </w:rPr>
                    <w:t xml:space="preserve"> mutácií – počet pac., n (%)</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Pozitivita mutácie alely JAK2V617F, % (SD)</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104 (94,5)</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76,2 (17,8)</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107 (95,5)</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75,0 (22,6)</w:t>
                  </w:r>
                </w:p>
              </w:tc>
            </w:tr>
            <w:tr w:rsidR="00F41B75" w:rsidRPr="00F41B75" w:rsidTr="00F41B75">
              <w:trPr>
                <w:trHeight w:val="90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Dĺžka sleziny pod okrajom rebra, cm</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&lt;10 cm, n (%)</w:t>
                  </w:r>
                </w:p>
                <w:p w:rsidR="00F41B75" w:rsidRPr="00F41B75" w:rsidRDefault="00F41B75" w:rsidP="00F41B75">
                  <w:pPr>
                    <w:pStyle w:val="TableNormal1"/>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&gt;20 cm, n (%)</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7,0 (0,0−24,0)</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71 (64,5)</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 (1,8)</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7,0 (0,0−25,0)</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67 (59,8)</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 (3,6)</w:t>
                  </w:r>
                </w:p>
              </w:tc>
            </w:tr>
            <w:tr w:rsidR="00F41B75" w:rsidRPr="00F41B75" w:rsidTr="00F41B75">
              <w:trPr>
                <w:trHeight w:val="56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vertAlign w:val="superscript"/>
                      <w:lang w:val="sk-SK"/>
                    </w:rPr>
                  </w:pPr>
                  <w:r w:rsidRPr="00F41B75">
                    <w:rPr>
                      <w:rFonts w:ascii="Arial" w:hAnsi="Arial" w:cs="Arial"/>
                      <w:b w:val="0"/>
                      <w:noProof/>
                      <w:color w:val="auto"/>
                      <w:sz w:val="16"/>
                      <w:szCs w:val="16"/>
                      <w:lang w:val="sk-SK"/>
                    </w:rPr>
                    <w:t>Objem sleziny, cm</w:t>
                  </w:r>
                  <w:r w:rsidRPr="00F41B75">
                    <w:rPr>
                      <w:rFonts w:ascii="Arial" w:hAnsi="Arial" w:cs="Arial"/>
                      <w:b w:val="0"/>
                      <w:noProof/>
                      <w:color w:val="auto"/>
                      <w:sz w:val="16"/>
                      <w:szCs w:val="16"/>
                      <w:vertAlign w:val="superscript"/>
                      <w:lang w:val="sk-SK"/>
                    </w:rPr>
                    <w:t>3</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vertAlign w:val="superscript"/>
                      <w:lang w:val="sk-SK"/>
                    </w:rPr>
                    <w:t xml:space="preserve">   </w:t>
                  </w:r>
                  <w:r w:rsidRPr="00F41B75">
                    <w:rPr>
                      <w:rFonts w:ascii="Arial" w:hAnsi="Arial" w:cs="Arial"/>
                      <w:b w:val="0"/>
                      <w:noProof/>
                      <w:color w:val="auto"/>
                      <w:sz w:val="16"/>
                      <w:szCs w:val="16"/>
                      <w:lang w:val="sk-SK"/>
                    </w:rPr>
                    <w:t>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1195 (396−4,631)</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1322 (254−5,147)</w:t>
                  </w:r>
                </w:p>
              </w:tc>
            </w:tr>
            <w:tr w:rsidR="00F41B75" w:rsidRPr="00F41B75" w:rsidTr="00F41B75">
              <w:trPr>
                <w:trHeight w:val="680"/>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lastRenderedPageBreak/>
                    <w:t>Hematokrit, %</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Priemer (SD)</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43,6 (2,2)</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43,3 (39,2−50,5)</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43,9 (2,2)</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44,0 (37,6−50,5)</w:t>
                  </w:r>
                </w:p>
              </w:tc>
            </w:tr>
            <w:tr w:rsidR="00F41B75" w:rsidRPr="00F41B75" w:rsidTr="00F41B75">
              <w:trPr>
                <w:trHeight w:val="680"/>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Hematokrit, n (%)</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40%−45%</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&gt;45%</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79 (71,8)</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28 (25,5)</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83 (74,1)</w:t>
                  </w: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25 (22,3)</w:t>
                  </w:r>
                </w:p>
              </w:tc>
            </w:tr>
            <w:tr w:rsidR="00F41B75" w:rsidRPr="00F41B75" w:rsidTr="00F41B75">
              <w:trPr>
                <w:trHeight w:val="56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Leukocyty - počet, × 10</w:t>
                  </w:r>
                  <w:r w:rsidRPr="00F41B75">
                    <w:rPr>
                      <w:rFonts w:ascii="Arial" w:hAnsi="Arial" w:cs="Arial"/>
                      <w:b w:val="0"/>
                      <w:noProof/>
                      <w:color w:val="auto"/>
                      <w:sz w:val="16"/>
                      <w:szCs w:val="16"/>
                      <w:vertAlign w:val="superscript"/>
                      <w:lang w:val="sk-SK"/>
                    </w:rPr>
                    <w:t>9</w:t>
                  </w:r>
                  <w:r w:rsidRPr="00F41B75">
                    <w:rPr>
                      <w:rFonts w:ascii="Arial" w:hAnsi="Arial" w:cs="Arial"/>
                      <w:b w:val="0"/>
                      <w:noProof/>
                      <w:color w:val="auto"/>
                      <w:sz w:val="16"/>
                      <w:szCs w:val="16"/>
                      <w:lang w:val="sk-SK"/>
                    </w:rPr>
                    <w:t>/l</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Priemer (SD)</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17,6 (9,6)</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19,0 (12,2)</w:t>
                  </w:r>
                </w:p>
              </w:tc>
            </w:tr>
            <w:tr w:rsidR="00F41B75" w:rsidRPr="00F41B75" w:rsidTr="00F41B75">
              <w:trPr>
                <w:trHeight w:val="56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bottom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Trombocyty - počet, × 10</w:t>
                  </w:r>
                  <w:r w:rsidRPr="00F41B75">
                    <w:rPr>
                      <w:rFonts w:ascii="Arial" w:hAnsi="Arial" w:cs="Arial"/>
                      <w:b w:val="0"/>
                      <w:noProof/>
                      <w:color w:val="auto"/>
                      <w:sz w:val="16"/>
                      <w:szCs w:val="16"/>
                      <w:vertAlign w:val="superscript"/>
                      <w:lang w:val="sk-SK"/>
                    </w:rPr>
                    <w:t>9</w:t>
                  </w:r>
                  <w:r w:rsidRPr="00F41B75">
                    <w:rPr>
                      <w:rFonts w:ascii="Arial" w:hAnsi="Arial" w:cs="Arial"/>
                      <w:b w:val="0"/>
                      <w:noProof/>
                      <w:color w:val="auto"/>
                      <w:sz w:val="16"/>
                      <w:szCs w:val="16"/>
                      <w:lang w:val="sk-SK"/>
                    </w:rPr>
                    <w:t>/l</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Priemer (SD)</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484,5 (323,3)</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499,4 (318,6)</w:t>
                  </w:r>
                </w:p>
              </w:tc>
            </w:tr>
            <w:tr w:rsidR="00F41B75" w:rsidRPr="00F41B75" w:rsidTr="00F41B75">
              <w:trPr>
                <w:trHeight w:val="567"/>
              </w:trPr>
              <w:tc>
                <w:tcPr>
                  <w:cnfStyle w:val="001000000000" w:firstRow="0" w:lastRow="0" w:firstColumn="1" w:lastColumn="0" w:oddVBand="0" w:evenVBand="0" w:oddHBand="0" w:evenHBand="0" w:firstRowFirstColumn="0" w:firstRowLastColumn="0" w:lastRowFirstColumn="0" w:lastRowLastColumn="0"/>
                  <w:tcW w:w="2834" w:type="pct"/>
                  <w:tcBorders>
                    <w:left w:val="none" w:sz="0" w:space="0" w:color="auto"/>
                    <w:right w:val="none" w:sz="0" w:space="0" w:color="auto"/>
                  </w:tcBorders>
                  <w:shd w:val="clear" w:color="auto" w:fill="auto"/>
                  <w:vAlign w:val="center"/>
                  <w:hideMark/>
                </w:tcPr>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Počet flebotómií počas 24 týždňov pred  zaradením</w:t>
                  </w:r>
                </w:p>
                <w:p w:rsidR="00F41B75" w:rsidRPr="00F41B75" w:rsidRDefault="00F41B75" w:rsidP="00F41B75">
                  <w:pPr>
                    <w:pStyle w:val="TableNormal1"/>
                    <w:ind w:left="-18"/>
                    <w:rPr>
                      <w:rFonts w:ascii="Arial" w:hAnsi="Arial" w:cs="Arial"/>
                      <w:b w:val="0"/>
                      <w:noProof/>
                      <w:color w:val="auto"/>
                      <w:sz w:val="16"/>
                      <w:szCs w:val="16"/>
                      <w:lang w:val="sk-SK"/>
                    </w:rPr>
                  </w:pPr>
                  <w:r w:rsidRPr="00F41B75">
                    <w:rPr>
                      <w:rFonts w:ascii="Arial" w:hAnsi="Arial" w:cs="Arial"/>
                      <w:b w:val="0"/>
                      <w:noProof/>
                      <w:color w:val="auto"/>
                      <w:sz w:val="16"/>
                      <w:szCs w:val="16"/>
                      <w:lang w:val="sk-SK"/>
                    </w:rPr>
                    <w:t xml:space="preserve">   Medián (rozsah)</w:t>
                  </w:r>
                </w:p>
              </w:tc>
              <w:tc>
                <w:tcPr>
                  <w:tcW w:w="1084"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2,0 (1−8)</w:t>
                  </w:r>
                </w:p>
              </w:tc>
              <w:tc>
                <w:tcPr>
                  <w:tcW w:w="1082" w:type="pct"/>
                  <w:shd w:val="clear" w:color="auto" w:fill="auto"/>
                  <w:vAlign w:val="center"/>
                  <w:hideMark/>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p>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 w:val="16"/>
                      <w:szCs w:val="16"/>
                      <w:lang w:val="sk-SK"/>
                    </w:rPr>
                  </w:pPr>
                  <w:r w:rsidRPr="00F41B75">
                    <w:rPr>
                      <w:rFonts w:ascii="Arial" w:hAnsi="Arial" w:cs="Arial"/>
                      <w:noProof/>
                      <w:sz w:val="16"/>
                      <w:szCs w:val="16"/>
                      <w:lang w:val="sk-SK"/>
                    </w:rPr>
                    <w:t>2,0 (0−16)</w:t>
                  </w:r>
                </w:p>
              </w:tc>
            </w:tr>
          </w:tbl>
          <w:p w:rsidR="00F41B75" w:rsidRPr="00F41B75" w:rsidRDefault="00F41B75" w:rsidP="00F41B75">
            <w:pPr>
              <w:spacing w:after="120"/>
              <w:jc w:val="both"/>
              <w:rPr>
                <w:rFonts w:ascii="Arial" w:hAnsi="Arial" w:cs="Arial"/>
                <w:noProof/>
                <w:sz w:val="18"/>
                <w:szCs w:val="20"/>
              </w:rPr>
            </w:pP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Dávka ruxolitinibu bola počas trvanie štúdie upravená podľa znášanlivosti a účinnosti na maximálnu dávku 25 mg dvakrát denne. BAT vybral skúšajúci lekár pre každého pacienta individuálne a zahŕňala tieto lieky:</w:t>
            </w:r>
          </w:p>
          <w:p w:rsidR="00F41B75" w:rsidRPr="00F41B75" w:rsidRDefault="00F41B75" w:rsidP="006A2BA0">
            <w:pPr>
              <w:pStyle w:val="ListParagraph"/>
              <w:numPr>
                <w:ilvl w:val="0"/>
                <w:numId w:val="1"/>
              </w:numPr>
              <w:spacing w:after="0"/>
              <w:ind w:left="714" w:hanging="357"/>
              <w:jc w:val="both"/>
              <w:rPr>
                <w:rFonts w:ascii="Arial" w:hAnsi="Arial" w:cs="Arial"/>
                <w:noProof/>
                <w:sz w:val="20"/>
                <w:szCs w:val="20"/>
              </w:rPr>
            </w:pPr>
            <w:r w:rsidRPr="00F41B75">
              <w:rPr>
                <w:rFonts w:ascii="Arial" w:hAnsi="Arial" w:cs="Arial"/>
                <w:noProof/>
                <w:sz w:val="20"/>
                <w:szCs w:val="20"/>
              </w:rPr>
              <w:t>hydroxyurea (59,5%)</w:t>
            </w:r>
          </w:p>
          <w:p w:rsidR="00F41B75" w:rsidRPr="00F41B75" w:rsidRDefault="00F41B75" w:rsidP="006A2BA0">
            <w:pPr>
              <w:pStyle w:val="ListParagraph"/>
              <w:numPr>
                <w:ilvl w:val="0"/>
                <w:numId w:val="1"/>
              </w:numPr>
              <w:spacing w:after="0"/>
              <w:ind w:left="714" w:hanging="357"/>
              <w:jc w:val="both"/>
              <w:rPr>
                <w:rFonts w:ascii="Arial" w:hAnsi="Arial" w:cs="Arial"/>
                <w:noProof/>
                <w:sz w:val="20"/>
                <w:szCs w:val="20"/>
              </w:rPr>
            </w:pPr>
            <w:r w:rsidRPr="00F41B75">
              <w:rPr>
                <w:rFonts w:ascii="Arial" w:hAnsi="Arial" w:cs="Arial"/>
                <w:noProof/>
                <w:sz w:val="20"/>
                <w:szCs w:val="20"/>
              </w:rPr>
              <w:t>interferón/pegylovaný interferón (11,7%)</w:t>
            </w:r>
          </w:p>
          <w:p w:rsidR="00F41B75" w:rsidRPr="00F41B75" w:rsidRDefault="00F41B75" w:rsidP="006A2BA0">
            <w:pPr>
              <w:pStyle w:val="ListParagraph"/>
              <w:numPr>
                <w:ilvl w:val="0"/>
                <w:numId w:val="1"/>
              </w:numPr>
              <w:spacing w:after="0"/>
              <w:ind w:left="714" w:hanging="357"/>
              <w:jc w:val="both"/>
              <w:rPr>
                <w:rFonts w:ascii="Arial" w:hAnsi="Arial" w:cs="Arial"/>
                <w:noProof/>
                <w:sz w:val="20"/>
                <w:szCs w:val="20"/>
              </w:rPr>
            </w:pPr>
            <w:r w:rsidRPr="00F41B75">
              <w:rPr>
                <w:rFonts w:ascii="Arial" w:hAnsi="Arial" w:cs="Arial"/>
                <w:noProof/>
                <w:sz w:val="20"/>
                <w:szCs w:val="20"/>
              </w:rPr>
              <w:t>anagrelid (7,2%)</w:t>
            </w:r>
          </w:p>
          <w:p w:rsidR="00F41B75" w:rsidRPr="00F41B75" w:rsidRDefault="00F41B75" w:rsidP="006A2BA0">
            <w:pPr>
              <w:pStyle w:val="ListParagraph"/>
              <w:numPr>
                <w:ilvl w:val="0"/>
                <w:numId w:val="1"/>
              </w:numPr>
              <w:spacing w:after="0"/>
              <w:ind w:left="714" w:hanging="357"/>
              <w:jc w:val="both"/>
              <w:rPr>
                <w:rFonts w:ascii="Arial" w:hAnsi="Arial" w:cs="Arial"/>
                <w:noProof/>
                <w:sz w:val="20"/>
                <w:szCs w:val="20"/>
              </w:rPr>
            </w:pPr>
            <w:r w:rsidRPr="00F41B75">
              <w:rPr>
                <w:rFonts w:ascii="Arial" w:hAnsi="Arial" w:cs="Arial"/>
                <w:noProof/>
                <w:sz w:val="20"/>
                <w:szCs w:val="20"/>
              </w:rPr>
              <w:t>pipobróman (1,8%)</w:t>
            </w:r>
          </w:p>
          <w:p w:rsidR="00F41B75" w:rsidRPr="00F41B75" w:rsidRDefault="00F41B75" w:rsidP="006A2BA0">
            <w:pPr>
              <w:pStyle w:val="ListParagraph"/>
              <w:numPr>
                <w:ilvl w:val="0"/>
                <w:numId w:val="1"/>
              </w:numPr>
              <w:spacing w:after="120"/>
              <w:ind w:left="714" w:hanging="357"/>
              <w:jc w:val="both"/>
              <w:rPr>
                <w:rFonts w:ascii="Arial" w:hAnsi="Arial" w:cs="Arial"/>
                <w:noProof/>
                <w:sz w:val="20"/>
                <w:szCs w:val="20"/>
              </w:rPr>
            </w:pPr>
            <w:r w:rsidRPr="00F41B75">
              <w:rPr>
                <w:rFonts w:ascii="Arial" w:hAnsi="Arial" w:cs="Arial"/>
                <w:noProof/>
                <w:sz w:val="20"/>
                <w:szCs w:val="20"/>
              </w:rPr>
              <w:t>bez liečby, pozorovanie (15,3%).</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Primárnym cieľovým ukazovateľom účinnosti v štúdii RESPONSE bol zložený výsledok: </w:t>
            </w:r>
          </w:p>
          <w:p w:rsidR="00F41B75" w:rsidRPr="00F41B75" w:rsidRDefault="00F41B75" w:rsidP="006A2BA0">
            <w:pPr>
              <w:pStyle w:val="ListParagraph"/>
              <w:numPr>
                <w:ilvl w:val="0"/>
                <w:numId w:val="2"/>
              </w:numPr>
              <w:spacing w:after="120"/>
              <w:jc w:val="both"/>
              <w:rPr>
                <w:rFonts w:ascii="Arial" w:hAnsi="Arial" w:cs="Arial"/>
                <w:noProof/>
                <w:sz w:val="20"/>
                <w:szCs w:val="20"/>
              </w:rPr>
            </w:pPr>
            <w:r w:rsidRPr="00F41B75">
              <w:rPr>
                <w:rFonts w:ascii="Arial" w:hAnsi="Arial" w:cs="Arial"/>
                <w:noProof/>
                <w:sz w:val="20"/>
                <w:szCs w:val="20"/>
              </w:rPr>
              <w:t>podiel pacientov, ktorí v 32. týždni sledovania dosiahli absenciu potreby flebotómie (do 8. týždňa povolená 1 post-randomizačná flebotómia, v období 8. – 32. týždňov žiadna flebotómia); flebotómia sa indikuje na základe hodnoty hematokritu [&gt;45%, t.j. o ≥3 percentuálne body viac ako východisková hodnota alebo &gt;48%, vždy podľa nižšej dosiahnutej hodnoty)  a</w:t>
            </w:r>
          </w:p>
          <w:p w:rsidR="00F41B75" w:rsidRPr="00F41B75" w:rsidRDefault="00F41B75" w:rsidP="006A2BA0">
            <w:pPr>
              <w:pStyle w:val="ListParagraph"/>
              <w:numPr>
                <w:ilvl w:val="0"/>
                <w:numId w:val="2"/>
              </w:numPr>
              <w:spacing w:after="120"/>
              <w:jc w:val="both"/>
              <w:rPr>
                <w:rFonts w:ascii="Arial" w:hAnsi="Arial" w:cs="Arial"/>
                <w:noProof/>
                <w:sz w:val="20"/>
                <w:szCs w:val="20"/>
              </w:rPr>
            </w:pPr>
            <w:r w:rsidRPr="00F41B75">
              <w:rPr>
                <w:rFonts w:ascii="Arial" w:hAnsi="Arial" w:cs="Arial"/>
                <w:noProof/>
                <w:sz w:val="20"/>
                <w:szCs w:val="20"/>
              </w:rPr>
              <w:t>zmenšenie objemu sleziny o ≥35% (hodnotené MRI vyšetrením) v porovnaní s veľkosťou pri zaradení do štúdie.</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Sekundárnymi kľúčovými ukazovateľmi bol podiel pacientov, ktorí dosiahli primárny cieľový ukazovateľ a v 48. týždni ostali bez progresie, ako aj percento pacientov, ktorí dosiahli úplnú hematologickú remisiu v 32. týždni.</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Pacienti, ktorí boli zaradení do kontrolnej skupiny (podávaná BAT), mali možnosť byť preradení do liečebnej skupiny s podávaním ruxolitinibu v alebo po 32. týždni vtedy, ak nesplnili primárny koncový ukazovateľ (bola indikovaná flebotómia alebo zmenšenie sleziny bolo &lt;35%). Na preradenie mali nárok aj pacienti, ktorí v 32. týždni splnili primárny cieľ, ale neskôr splnili jedno alebo obe nasledujúce kritériá:</w:t>
            </w:r>
          </w:p>
          <w:p w:rsidR="00F41B75" w:rsidRPr="00F41B75" w:rsidRDefault="00F41B75" w:rsidP="006A2BA0">
            <w:pPr>
              <w:pStyle w:val="ListParagraph"/>
              <w:numPr>
                <w:ilvl w:val="0"/>
                <w:numId w:val="3"/>
              </w:numPr>
              <w:spacing w:after="120"/>
              <w:jc w:val="both"/>
              <w:rPr>
                <w:rFonts w:ascii="Arial" w:hAnsi="Arial" w:cs="Arial"/>
                <w:noProof/>
                <w:sz w:val="20"/>
                <w:szCs w:val="20"/>
              </w:rPr>
            </w:pPr>
            <w:r w:rsidRPr="00F41B75">
              <w:rPr>
                <w:rFonts w:ascii="Arial" w:hAnsi="Arial" w:cs="Arial"/>
                <w:noProof/>
                <w:sz w:val="20"/>
                <w:szCs w:val="20"/>
              </w:rPr>
              <w:t>indikovanie flebotómie</w:t>
            </w:r>
          </w:p>
          <w:p w:rsidR="00F41B75" w:rsidRPr="00F41B75" w:rsidRDefault="00F41B75" w:rsidP="006A2BA0">
            <w:pPr>
              <w:pStyle w:val="ListParagraph"/>
              <w:numPr>
                <w:ilvl w:val="0"/>
                <w:numId w:val="3"/>
              </w:numPr>
              <w:spacing w:after="120"/>
              <w:jc w:val="both"/>
              <w:rPr>
                <w:rFonts w:ascii="Arial" w:hAnsi="Arial" w:cs="Arial"/>
                <w:noProof/>
                <w:sz w:val="20"/>
                <w:szCs w:val="20"/>
              </w:rPr>
            </w:pPr>
            <w:r w:rsidRPr="00F41B75">
              <w:rPr>
                <w:rFonts w:ascii="Arial" w:hAnsi="Arial" w:cs="Arial"/>
                <w:noProof/>
                <w:sz w:val="20"/>
                <w:szCs w:val="20"/>
              </w:rPr>
              <w:t>&lt;35% zmenšenie objemu sleziny oproti východiskovej hodnote a súčasne ≥25% zväčšenie objemu sleziny v porovnaní s najlepšie zdokumentovanou odpoveďou pacienta.</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V čase prvého vyhodnotenia údajov (32 týždňov trvania sledovania pacientov) 84,5% pacientov randomizovaných na liečbu JAKAVI pokračovalo v randomizovanej liečbe. Po vyhodnotení, po 32. týždni 85,7% pacientov pôvodne randomizovaných na BAT prešlo na liečbu JAKAVI. Najčastejším dôvodom na prerušenie liečby BAT bola nedostatočná účinnosť (89,3%). Tento dôvod na prerušenie liečby sa v skupine liečenej ruxolitinibom vôbec nevyskytol.</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Počet pacientov v štúdii po 32 týždňoch a v 80. týždni sledovania ukazuje obr. č. </w:t>
            </w:r>
            <w:r w:rsidR="00673D6C">
              <w:rPr>
                <w:rFonts w:ascii="Arial" w:hAnsi="Arial" w:cs="Arial"/>
                <w:noProof/>
                <w:sz w:val="20"/>
                <w:szCs w:val="20"/>
              </w:rPr>
              <w:t>4.</w:t>
            </w: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4  </w:t>
            </w:r>
            <w:r w:rsidRPr="00F41B75">
              <w:rPr>
                <w:rFonts w:ascii="Arial" w:hAnsi="Arial" w:cs="Arial"/>
                <w:noProof/>
                <w:sz w:val="20"/>
                <w:szCs w:val="20"/>
              </w:rPr>
              <w:t>Rozdelenie pacientov v štúdii RESPONSE v 80. týždni sledovania</w:t>
            </w:r>
          </w:p>
          <w:p w:rsidR="00681311" w:rsidRPr="00F41B75" w:rsidRDefault="00681311" w:rsidP="00F41B75">
            <w:pPr>
              <w:spacing w:after="120"/>
              <w:jc w:val="both"/>
              <w:rPr>
                <w:rFonts w:ascii="Arial" w:hAnsi="Arial" w:cs="Arial"/>
                <w:noProof/>
                <w:sz w:val="20"/>
                <w:szCs w:val="20"/>
              </w:rPr>
            </w:pPr>
            <w:r>
              <w:rPr>
                <w:noProof/>
                <w:lang w:val="en-US" w:eastAsia="en-US"/>
              </w:rPr>
              <w:lastRenderedPageBreak/>
              <w:drawing>
                <wp:inline distT="0" distB="0" distL="0" distR="0" wp14:anchorId="3E27557F" wp14:editId="44A94841">
                  <wp:extent cx="5034643" cy="4431395"/>
                  <wp:effectExtent l="0" t="0" r="0"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046157" cy="4441530"/>
                          </a:xfrm>
                          <a:prstGeom prst="rect">
                            <a:avLst/>
                          </a:prstGeom>
                        </pic:spPr>
                      </pic:pic>
                    </a:graphicData>
                  </a:graphic>
                </wp:inline>
              </w:drawing>
            </w:r>
          </w:p>
          <w:p w:rsidR="00F41B75" w:rsidRPr="00122A54" w:rsidRDefault="00F41B75" w:rsidP="00F41B75">
            <w:pPr>
              <w:spacing w:after="120"/>
              <w:ind w:left="709"/>
              <w:jc w:val="both"/>
              <w:rPr>
                <w:rFonts w:ascii="Arial" w:hAnsi="Arial" w:cs="Arial"/>
                <w:i/>
                <w:noProof/>
                <w:sz w:val="18"/>
                <w:szCs w:val="18"/>
              </w:rPr>
            </w:pPr>
            <w:r w:rsidRPr="00122A54">
              <w:rPr>
                <w:rFonts w:ascii="Arial" w:hAnsi="Arial" w:cs="Arial"/>
                <w:i/>
                <w:noProof/>
                <w:sz w:val="18"/>
                <w:szCs w:val="18"/>
              </w:rPr>
              <w:t>Zdroj: Verstovsek, S.; 2016</w:t>
            </w:r>
          </w:p>
          <w:p w:rsidR="00F41B75" w:rsidRDefault="00F41B75" w:rsidP="00673D6C">
            <w:pPr>
              <w:spacing w:after="120"/>
              <w:jc w:val="both"/>
              <w:rPr>
                <w:rFonts w:ascii="Arial" w:hAnsi="Arial" w:cs="Arial"/>
                <w:noProof/>
                <w:sz w:val="20"/>
                <w:szCs w:val="20"/>
              </w:rPr>
            </w:pPr>
          </w:p>
          <w:p w:rsidR="00673D6C" w:rsidRPr="00673D6C" w:rsidRDefault="00673D6C" w:rsidP="00673D6C">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Výsledky štúdie RESPONSE</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Vyhodnotenie kľúčových primárnych ukazovateľov v štúdii RESPONSE potvrdilo, že liečba ruxolitinibom (JAKAVI) poskytuje významne lepšiu kontrolu hodnôt hematokritu a vplyv na zmenšenie splenomegálie v porovnaní s BAT.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 32. týždni dosiahlo primárnu kombinovanú odpoveď 22,7% pacientov liečených ruxolitinibom v porovnaní s 0,9% pacientov liečených BAT; pomer šancí (odds ratio, OR) 32,67; 95% CI 5,04 – 1337; p &lt; 0,0001 (obr. č.  ). Zo všetkých pacientov liečených liekom JAKAVI sa u 77,3% vyskytlo splnenie najmenej jednej zložky primárneho koncového bodu, pričom 60% pacientov (95% CI 50,2 – 69,2) preukázalo kontrolu hematokritu v porovnaní s 19,6% (95% CI 12,7 – 28,2) pacientov v skupine liečenej BAT a 40% pacientov liečených JAKAVI (95% CI 30,8 – 49,8) dosiahlo zmenšenie splenomegálie najmenej o 35% v porovnaní s 0,9% pacientov liečených BAT (95% CI 0,0 – 4,9), ktorí dosiahli predpísanú zmenu objemu sleziny (obr. č. </w:t>
            </w:r>
            <w:r w:rsidR="00673D6C">
              <w:rPr>
                <w:rFonts w:ascii="Arial" w:hAnsi="Arial" w:cs="Arial"/>
                <w:noProof/>
                <w:sz w:val="20"/>
                <w:szCs w:val="20"/>
              </w:rPr>
              <w:t>5</w:t>
            </w:r>
            <w:r w:rsidRPr="00F41B75">
              <w:rPr>
                <w:rFonts w:ascii="Arial" w:hAnsi="Arial" w:cs="Arial"/>
                <w:noProof/>
                <w:sz w:val="20"/>
                <w:szCs w:val="20"/>
              </w:rPr>
              <w:t xml:space="preserve">). </w:t>
            </w:r>
          </w:p>
          <w:p w:rsidR="00F41B75" w:rsidRPr="00F41B75" w:rsidRDefault="00F41B75" w:rsidP="00F41B75">
            <w:pPr>
              <w:spacing w:after="120"/>
              <w:jc w:val="both"/>
              <w:rPr>
                <w:rFonts w:ascii="Arial" w:hAnsi="Arial" w:cs="Arial"/>
                <w:noProof/>
                <w:sz w:val="20"/>
                <w:szCs w:val="20"/>
              </w:rPr>
            </w:pPr>
          </w:p>
          <w:p w:rsidR="00F41B75" w:rsidRDefault="00F41B75"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5  </w:t>
            </w:r>
            <w:r w:rsidRPr="00F41B75">
              <w:rPr>
                <w:rFonts w:ascii="Arial" w:hAnsi="Arial" w:cs="Arial"/>
                <w:noProof/>
                <w:sz w:val="20"/>
                <w:szCs w:val="20"/>
              </w:rPr>
              <w:t xml:space="preserve">Dosiahnutie primárneho koncového ukazovateľa (kombinovaného a jeho zložiek) v štúdii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lastRenderedPageBreak/>
              <w:t xml:space="preserve">                  RESPONSE v 32. týždni sledovania</w:t>
            </w:r>
          </w:p>
          <w:p w:rsidR="00F41B75" w:rsidRPr="00F41B75" w:rsidRDefault="00F41B75" w:rsidP="00F41B75">
            <w:pPr>
              <w:spacing w:after="120"/>
              <w:jc w:val="both"/>
              <w:rPr>
                <w:rFonts w:ascii="Arial" w:hAnsi="Arial" w:cs="Arial"/>
                <w:noProof/>
                <w:sz w:val="20"/>
                <w:szCs w:val="20"/>
              </w:rPr>
            </w:pPr>
            <w:r w:rsidRPr="00F41B75">
              <w:rPr>
                <w:noProof/>
                <w:lang w:val="en-US" w:eastAsia="en-US"/>
              </w:rPr>
              <w:drawing>
                <wp:inline distT="0" distB="0" distL="0" distR="0" wp14:anchorId="5F5321F8" wp14:editId="134B17A4">
                  <wp:extent cx="5372100" cy="1964872"/>
                  <wp:effectExtent l="0" t="0" r="0" b="0"/>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384424" cy="1969379"/>
                          </a:xfrm>
                          <a:prstGeom prst="rect">
                            <a:avLst/>
                          </a:prstGeom>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Verstovsek S.;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Zmena objemu sleziny</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Pri analýze údajov bolo dokladované, že u 73,6% pacientov randomizovaných na podávanie ruxolitinibu došlo k zníženiu objemu sleziny, kým v skupine liečenej BAT bolo zmenšenie sleziny pozorované u 33,0% pacientov (obr. č.</w:t>
            </w:r>
            <w:r w:rsidR="00673D6C">
              <w:rPr>
                <w:rFonts w:ascii="Arial" w:hAnsi="Arial" w:cs="Arial"/>
                <w:noProof/>
                <w:sz w:val="20"/>
                <w:szCs w:val="20"/>
              </w:rPr>
              <w:t xml:space="preserve"> 6</w:t>
            </w:r>
            <w:r w:rsidRPr="00F41B75">
              <w:rPr>
                <w:rFonts w:ascii="Arial" w:hAnsi="Arial" w:cs="Arial"/>
                <w:noProof/>
                <w:sz w:val="20"/>
                <w:szCs w:val="20"/>
              </w:rPr>
              <w:t xml:space="preserve">). V 32. týždni bola pozorovaná 28% redukcia priemerného objemu sleziny od východiskovej hodnoty v skupine s JAKAVI, zatiaľ čo u pacientov liečených BAT sa preukázalo priemerné zvýšenie objemu sleziny o 4,50%. </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6  </w:t>
            </w:r>
            <w:r w:rsidRPr="00F41B75">
              <w:rPr>
                <w:rFonts w:ascii="Arial" w:hAnsi="Arial" w:cs="Arial"/>
                <w:noProof/>
                <w:sz w:val="20"/>
                <w:szCs w:val="20"/>
              </w:rPr>
              <w:t>Zmena objemu sleziny u pacientov v štúdii RESPONSE (32. týždeň sledovania)</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ind w:left="284"/>
              <w:jc w:val="both"/>
              <w:rPr>
                <w:rFonts w:ascii="Arial" w:hAnsi="Arial" w:cs="Arial"/>
                <w:noProof/>
                <w:sz w:val="20"/>
                <w:szCs w:val="20"/>
              </w:rPr>
            </w:pPr>
            <w:r w:rsidRPr="00F41B75">
              <w:rPr>
                <w:noProof/>
                <w:lang w:val="en-US" w:eastAsia="en-US"/>
              </w:rPr>
              <w:drawing>
                <wp:inline distT="0" distB="0" distL="0" distR="0" wp14:anchorId="42D69B4F" wp14:editId="3E111066">
                  <wp:extent cx="4792980" cy="2567935"/>
                  <wp:effectExtent l="0" t="0" r="7620" b="4445"/>
                  <wp:docPr id="387"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pic:cNvPicPr>
                            <a:picLocks noChangeAspect="1" noChangeArrowheads="1"/>
                          </pic:cNvPicPr>
                        </pic:nvPicPr>
                        <pic:blipFill>
                          <a:blip r:embed="rId17" cstate="print"/>
                          <a:srcRect/>
                          <a:stretch>
                            <a:fillRect/>
                          </a:stretch>
                        </pic:blipFill>
                        <pic:spPr bwMode="auto">
                          <a:xfrm>
                            <a:off x="0" y="0"/>
                            <a:ext cx="4811877" cy="2578059"/>
                          </a:xfrm>
                          <a:prstGeom prst="rect">
                            <a:avLst/>
                          </a:prstGeom>
                          <a:noFill/>
                        </pic:spPr>
                      </pic:pic>
                    </a:graphicData>
                  </a:graphic>
                </wp:inline>
              </w:drawing>
            </w:r>
          </w:p>
          <w:p w:rsidR="00F41B75" w:rsidRPr="00F41B75" w:rsidRDefault="00F41B75" w:rsidP="00F41B75">
            <w:pPr>
              <w:spacing w:after="120"/>
              <w:jc w:val="both"/>
              <w:rPr>
                <w:rFonts w:ascii="Arial" w:hAnsi="Arial" w:cs="Arial"/>
                <w:i/>
                <w:noProof/>
                <w:sz w:val="18"/>
                <w:szCs w:val="20"/>
              </w:rPr>
            </w:pP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2014</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Kontrola hematokritu a potreba flebotómií</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Medzi 8. a 32. týždňom bol počet indikovaných flebotómií v skupine pacientov liečených ruxolitinibom (JAKAVI) podstatne nižší v porovnaní s počtom pacientov liečených BAT. Celkovo 19,8% pacientov liečených JAKAVI podstúpilo aspoň jednu flebotómiu, kým v skupine liečenej BAT tento výkon podstúpilo 62,4% pacientov; 3 a viac flebotómii podstúpilo 2,8% pacientov zo skupiny liečenej JAKAVI v porovnaní s 20,2% pacientov liečených BAT (obr. č. </w:t>
            </w:r>
            <w:r w:rsidR="00673D6C">
              <w:rPr>
                <w:rFonts w:ascii="Arial" w:hAnsi="Arial" w:cs="Arial"/>
                <w:noProof/>
                <w:sz w:val="20"/>
                <w:szCs w:val="20"/>
              </w:rPr>
              <w:t>7</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Znížená potreba flebotómie v ramene JAKAVI bola udržiavaná až do 80. týždňa. Z pacientov, ktorí </w:t>
            </w:r>
            <w:r w:rsidRPr="00F41B75">
              <w:rPr>
                <w:rFonts w:ascii="Arial" w:hAnsi="Arial" w:cs="Arial"/>
                <w:noProof/>
                <w:sz w:val="20"/>
                <w:szCs w:val="20"/>
              </w:rPr>
              <w:lastRenderedPageBreak/>
              <w:t>zostali na JAKAVI v 32. týždni (n = 98), 89,8% nemalo flebotómiu medzi 32. a 80. týždňom, 7,1% pacientov malo jednu flebotómiu a 3,1 % malo 3 alebo viac flebotomií (obr. č.</w:t>
            </w:r>
            <w:r w:rsidR="00673D6C">
              <w:rPr>
                <w:rFonts w:ascii="Arial" w:hAnsi="Arial" w:cs="Arial"/>
                <w:noProof/>
                <w:sz w:val="20"/>
                <w:szCs w:val="20"/>
              </w:rPr>
              <w:t xml:space="preserve"> 8</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7  </w:t>
            </w:r>
            <w:r w:rsidRPr="00F41B75">
              <w:rPr>
                <w:rFonts w:ascii="Arial" w:hAnsi="Arial" w:cs="Arial"/>
                <w:noProof/>
                <w:sz w:val="20"/>
                <w:szCs w:val="20"/>
              </w:rPr>
              <w:t>Počet pacientov, ktorí v 8. – 32. týždni podstúpili flebotómiu – štúdia RESPONSE</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ind w:left="284"/>
              <w:jc w:val="both"/>
              <w:rPr>
                <w:rFonts w:ascii="Arial" w:hAnsi="Arial" w:cs="Arial"/>
                <w:noProof/>
                <w:sz w:val="20"/>
                <w:szCs w:val="20"/>
              </w:rPr>
            </w:pPr>
            <w:r w:rsidRPr="00F41B75">
              <w:rPr>
                <w:noProof/>
                <w:lang w:val="en-US" w:eastAsia="en-US"/>
              </w:rPr>
              <w:drawing>
                <wp:inline distT="0" distB="0" distL="0" distR="0" wp14:anchorId="2FAEE5B5" wp14:editId="63AF239F">
                  <wp:extent cx="4806586" cy="1420586"/>
                  <wp:effectExtent l="0" t="0" r="0" b="8255"/>
                  <wp:docPr id="9"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8" cstate="print"/>
                          <a:srcRect/>
                          <a:stretch>
                            <a:fillRect/>
                          </a:stretch>
                        </pic:blipFill>
                        <pic:spPr bwMode="auto">
                          <a:xfrm>
                            <a:off x="0" y="0"/>
                            <a:ext cx="4835470" cy="1429123"/>
                          </a:xfrm>
                          <a:prstGeom prst="rect">
                            <a:avLst/>
                          </a:prstGeom>
                          <a:noFill/>
                          <a:ln w="9525">
                            <a:noFill/>
                            <a:miter lim="800000"/>
                            <a:headEnd/>
                            <a:tailEnd/>
                          </a:ln>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8  </w:t>
            </w:r>
            <w:r w:rsidRPr="00F41B75">
              <w:rPr>
                <w:rFonts w:ascii="Arial" w:hAnsi="Arial" w:cs="Arial"/>
                <w:noProof/>
                <w:sz w:val="20"/>
                <w:szCs w:val="20"/>
              </w:rPr>
              <w:t xml:space="preserve">Počet flebotómii u pacientov liečených JAKAVI (8. – 32. týždeň, 32. 80. týždeň) – štúdia </w:t>
            </w:r>
            <w:r w:rsidRPr="00F41B75">
              <w:rPr>
                <w:rFonts w:ascii="Arial" w:hAnsi="Arial" w:cs="Arial"/>
                <w:noProof/>
                <w:sz w:val="20"/>
                <w:szCs w:val="20"/>
              </w:rPr>
              <w:br/>
              <w:t xml:space="preserve">                   RESPONSE</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ind w:left="284"/>
              <w:jc w:val="both"/>
              <w:rPr>
                <w:rFonts w:ascii="Arial" w:hAnsi="Arial" w:cs="Arial"/>
                <w:noProof/>
                <w:sz w:val="20"/>
                <w:szCs w:val="20"/>
              </w:rPr>
            </w:pPr>
            <w:r w:rsidRPr="00F41B75">
              <w:rPr>
                <w:noProof/>
                <w:lang w:val="en-US" w:eastAsia="en-US"/>
              </w:rPr>
              <w:drawing>
                <wp:inline distT="0" distB="0" distL="0" distR="0" wp14:anchorId="50F686EB" wp14:editId="1CA2BE63">
                  <wp:extent cx="4907280" cy="2065020"/>
                  <wp:effectExtent l="0" t="0" r="7620" b="0"/>
                  <wp:docPr id="10" name="Picture 1"/>
                  <wp:cNvGraphicFramePr/>
                  <a:graphic xmlns:a="http://schemas.openxmlformats.org/drawingml/2006/main">
                    <a:graphicData uri="http://schemas.openxmlformats.org/drawingml/2006/picture">
                      <pic:pic xmlns:pic="http://schemas.openxmlformats.org/drawingml/2006/picture">
                        <pic:nvPicPr>
                          <pic:cNvPr id="2054" name="Picture 6"/>
                          <pic:cNvPicPr>
                            <a:picLocks noChangeAspect="1" noChangeArrowheads="1"/>
                          </pic:cNvPicPr>
                        </pic:nvPicPr>
                        <pic:blipFill rotWithShape="1">
                          <a:blip r:embed="rId19" cstate="print"/>
                          <a:srcRect l="703" t="1928" r="1703" b="2410"/>
                          <a:stretch/>
                        </pic:blipFill>
                        <pic:spPr bwMode="auto">
                          <a:xfrm>
                            <a:off x="0" y="0"/>
                            <a:ext cx="4908433" cy="2065505"/>
                          </a:xfrm>
                          <a:prstGeom prst="rect">
                            <a:avLst/>
                          </a:prstGeom>
                          <a:noFill/>
                          <a:ln w="9525">
                            <a:noFill/>
                            <a:miter lim="800000"/>
                            <a:headEnd/>
                            <a:tailEnd/>
                          </a:ln>
                          <a:effectLst/>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Verstovsek S.;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Podobný výsledok bol dosiahnutý aj u pacientov pôvodne randomizovaných do skupiny liečenej BAT, ktorí neskôr boli preradení na liečbu JAKAVI a na tejto liečbe zotrvali najmenej 32 týždňov. Z týchto pacientov (n = 90) 81,1% nemuselo podstúpiť žiadnu flebotómiu počas obdobia 32 – 80 týždňov po zmene terapie, 13,3% pacientov malo jednu flebotómiu, 2,2% pacientov malo dve flebotómie a 3,3% malo tri alebo viac flebotómií. </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Úplná hematologická odpoveď</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Úplná hematologická odpoveď (kompletná remisia) v štúdii bola definovaná ako kontrola  hematokritu – jeho hodnota menej ako 45% bez flebotómie, počet krvných doštičiek ≤ 400 </w:t>
            </w:r>
            <w:r w:rsidRPr="00F41B75">
              <w:rPr>
                <w:rFonts w:ascii="Cambria Math" w:hAnsi="Cambria Math" w:cs="Cambria Math"/>
                <w:noProof/>
                <w:sz w:val="20"/>
                <w:szCs w:val="20"/>
              </w:rPr>
              <w:t>⨯</w:t>
            </w:r>
            <w:r w:rsidRPr="00F41B75">
              <w:rPr>
                <w:rFonts w:ascii="Arial" w:hAnsi="Arial" w:cs="Arial"/>
                <w:noProof/>
                <w:sz w:val="20"/>
                <w:szCs w:val="20"/>
              </w:rPr>
              <w:t xml:space="preserve"> 10</w:t>
            </w:r>
            <w:r w:rsidRPr="00F41B75">
              <w:rPr>
                <w:rFonts w:ascii="Arial" w:hAnsi="Arial" w:cs="Arial"/>
                <w:noProof/>
                <w:sz w:val="20"/>
                <w:szCs w:val="20"/>
                <w:vertAlign w:val="superscript"/>
              </w:rPr>
              <w:t>9</w:t>
            </w:r>
            <w:r w:rsidRPr="00F41B75">
              <w:rPr>
                <w:rFonts w:ascii="Arial" w:hAnsi="Arial" w:cs="Arial"/>
                <w:noProof/>
                <w:sz w:val="20"/>
                <w:szCs w:val="20"/>
              </w:rPr>
              <w:t xml:space="preserve">/l, počet leukocytov ≤ 10 </w:t>
            </w:r>
            <w:r w:rsidRPr="00F41B75">
              <w:rPr>
                <w:rFonts w:ascii="Cambria Math" w:hAnsi="Cambria Math" w:cs="Cambria Math"/>
                <w:noProof/>
                <w:sz w:val="20"/>
                <w:szCs w:val="20"/>
              </w:rPr>
              <w:t>⨯</w:t>
            </w:r>
            <w:r w:rsidRPr="00F41B75">
              <w:rPr>
                <w:rFonts w:ascii="Arial" w:hAnsi="Arial" w:cs="Arial"/>
                <w:noProof/>
                <w:sz w:val="20"/>
                <w:szCs w:val="20"/>
              </w:rPr>
              <w:t xml:space="preserve"> 10</w:t>
            </w:r>
            <w:r w:rsidRPr="00F41B75">
              <w:rPr>
                <w:rFonts w:ascii="Arial" w:hAnsi="Arial" w:cs="Arial"/>
                <w:noProof/>
                <w:sz w:val="20"/>
                <w:szCs w:val="20"/>
                <w:vertAlign w:val="superscript"/>
              </w:rPr>
              <w:t>9</w:t>
            </w:r>
            <w:r w:rsidRPr="00F41B75">
              <w:rPr>
                <w:rFonts w:ascii="Arial" w:hAnsi="Arial" w:cs="Arial"/>
                <w:noProof/>
                <w:sz w:val="20"/>
                <w:szCs w:val="20"/>
              </w:rPr>
              <w:t>/l. Pri hodnotení v 32. týždni v skupine pacientov liečených JAKAVI dosiahlo úplnú odpoveď 23,6%, v skupine liečenej BAT ju dosiahlo 8,9% pacientov (p = 0,003) (obr. č.</w:t>
            </w:r>
            <w:r w:rsidR="00673D6C">
              <w:rPr>
                <w:rFonts w:ascii="Arial" w:hAnsi="Arial" w:cs="Arial"/>
                <w:noProof/>
                <w:sz w:val="20"/>
                <w:szCs w:val="20"/>
              </w:rPr>
              <w:t xml:space="preserve"> 9</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9  </w:t>
            </w:r>
            <w:r w:rsidRPr="00F41B75">
              <w:rPr>
                <w:rFonts w:ascii="Arial" w:hAnsi="Arial" w:cs="Arial"/>
                <w:noProof/>
                <w:sz w:val="20"/>
                <w:szCs w:val="20"/>
              </w:rPr>
              <w:t>Úplná hematologická odpoveď v 32. týždni – štúdia RESPONSE</w:t>
            </w:r>
          </w:p>
          <w:p w:rsidR="00F41B75" w:rsidRPr="00F41B75" w:rsidRDefault="00F41B75" w:rsidP="00F41B75">
            <w:pPr>
              <w:spacing w:after="120"/>
              <w:ind w:left="851"/>
              <w:jc w:val="both"/>
              <w:rPr>
                <w:rFonts w:ascii="Arial" w:hAnsi="Arial" w:cs="Arial"/>
                <w:noProof/>
                <w:sz w:val="20"/>
                <w:szCs w:val="20"/>
              </w:rPr>
            </w:pPr>
            <w:r w:rsidRPr="00F41B75">
              <w:rPr>
                <w:noProof/>
              </w:rPr>
              <w:lastRenderedPageBreak/>
              <w:t xml:space="preserve">  </w:t>
            </w:r>
            <w:r w:rsidRPr="00F41B75">
              <w:rPr>
                <w:noProof/>
                <w:lang w:val="en-US" w:eastAsia="en-US"/>
              </w:rPr>
              <w:drawing>
                <wp:inline distT="0" distB="0" distL="0" distR="0" wp14:anchorId="2A6EADB7" wp14:editId="730AFF79">
                  <wp:extent cx="3345180" cy="2199807"/>
                  <wp:effectExtent l="0" t="0" r="7620" b="0"/>
                  <wp:docPr id="385"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353476" cy="2205262"/>
                          </a:xfrm>
                          <a:prstGeom prst="rect">
                            <a:avLst/>
                          </a:prstGeom>
                          <a:noFill/>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 xml:space="preserve">         Zdroj: Vannucchi, A.M.; 2014,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Tieto výsledky pretrvávali aj v 48. týždni, pričom 20,9% pacientov randomizovaných na JAKAVI si udržalo úplnú hematologickú odpoveď, na rozdiel od 0,9% pacientov randomizovaných na BAT. V 80. týždni bola úplná hematologická remisia u 16,4% (95% CI 10,0-24,6) pacientov liečených JAKAVI. Pravdepodobnosť udržania kompletnej hematologickej odpovede najmenej 80 týždňov od začiatku času odpovede bola 69%.</w:t>
            </w:r>
          </w:p>
          <w:p w:rsidR="00F41B75" w:rsidRPr="00F41B75" w:rsidRDefault="00F41B75" w:rsidP="00F41B75">
            <w:pPr>
              <w:spacing w:after="120"/>
              <w:jc w:val="both"/>
              <w:rPr>
                <w:noProof/>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Trvanie odpovede</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Na základe analýzy intention-to-treat (ITT) primárny kľúčový ukazovateľ sa udržal u 19,1% pacientov randomizovaných na liečbu JAKAVI v porovnaní s 0,9% pacientov liečených BAT v 48. týždni (p &lt; 0,0001). Pacienti liečení ruxolitinibom mali pravdepodobnosť 0,94 na udržanie primárnej odpovede 48 týždňov alebo dlhšie (obr. č.</w:t>
            </w:r>
            <w:r w:rsidR="00673D6C">
              <w:rPr>
                <w:rFonts w:ascii="Arial" w:hAnsi="Arial" w:cs="Arial"/>
                <w:noProof/>
                <w:sz w:val="20"/>
                <w:szCs w:val="20"/>
              </w:rPr>
              <w:t xml:space="preserve"> 10</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673D6C" w:rsidRDefault="00F41B75" w:rsidP="00673D6C">
            <w:pPr>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10  </w:t>
            </w:r>
            <w:r w:rsidRPr="00F41B75">
              <w:rPr>
                <w:rFonts w:ascii="Arial" w:hAnsi="Arial" w:cs="Arial"/>
                <w:noProof/>
                <w:sz w:val="20"/>
                <w:szCs w:val="20"/>
              </w:rPr>
              <w:t xml:space="preserve">Trvanie odpovede – dosiahnutého primárneho cieľového zloženého ukazovateľa počas </w:t>
            </w:r>
            <w:r w:rsidR="00673D6C">
              <w:rPr>
                <w:rFonts w:ascii="Arial" w:hAnsi="Arial" w:cs="Arial"/>
                <w:noProof/>
                <w:sz w:val="20"/>
                <w:szCs w:val="20"/>
              </w:rPr>
              <w:t xml:space="preserve"> </w:t>
            </w:r>
          </w:p>
          <w:p w:rsidR="00673D6C" w:rsidRDefault="00673D6C" w:rsidP="00F41B75">
            <w:pPr>
              <w:spacing w:after="120"/>
              <w:jc w:val="both"/>
              <w:rPr>
                <w:rFonts w:ascii="Arial" w:hAnsi="Arial" w:cs="Arial"/>
                <w:noProof/>
                <w:sz w:val="20"/>
                <w:szCs w:val="20"/>
              </w:rPr>
            </w:pPr>
            <w:r>
              <w:rPr>
                <w:rFonts w:ascii="Arial" w:hAnsi="Arial" w:cs="Arial"/>
                <w:noProof/>
                <w:sz w:val="20"/>
                <w:szCs w:val="20"/>
              </w:rPr>
              <w:t xml:space="preserve">                     </w:t>
            </w:r>
            <w:r w:rsidR="00F41B75" w:rsidRPr="00F41B75">
              <w:rPr>
                <w:rFonts w:ascii="Arial" w:hAnsi="Arial" w:cs="Arial"/>
                <w:noProof/>
                <w:sz w:val="20"/>
                <w:szCs w:val="20"/>
              </w:rPr>
              <w:t>48 týždňov alebo dlhšie u pacientov liečených JAKAVI – štúdia RESPONSE</w:t>
            </w:r>
          </w:p>
          <w:p w:rsidR="00F41B75" w:rsidRPr="00F41B75" w:rsidRDefault="00F41B75" w:rsidP="00F41B75">
            <w:pPr>
              <w:spacing w:after="120"/>
              <w:jc w:val="both"/>
              <w:rPr>
                <w:rFonts w:ascii="Arial" w:hAnsi="Arial" w:cs="Arial"/>
                <w:noProof/>
                <w:sz w:val="20"/>
                <w:szCs w:val="20"/>
              </w:rPr>
            </w:pPr>
            <w:r w:rsidRPr="00F41B75">
              <w:rPr>
                <w:noProof/>
                <w:lang w:val="en-US" w:eastAsia="en-US"/>
              </w:rPr>
              <w:drawing>
                <wp:inline distT="0" distB="0" distL="0" distR="0" wp14:anchorId="07F7B56E" wp14:editId="44F7E2CD">
                  <wp:extent cx="4652526" cy="2922814"/>
                  <wp:effectExtent l="0" t="0" r="0" b="0"/>
                  <wp:docPr id="7" name="Obrázo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673618" cy="2936064"/>
                          </a:xfrm>
                          <a:prstGeom prst="rect">
                            <a:avLst/>
                          </a:prstGeom>
                        </pic:spPr>
                      </pic:pic>
                    </a:graphicData>
                  </a:graphic>
                </wp:inline>
              </w:drawing>
            </w:r>
          </w:p>
          <w:p w:rsidR="00F41B75" w:rsidRPr="00F41B75" w:rsidRDefault="00F41B75" w:rsidP="00962608">
            <w:pPr>
              <w:spacing w:after="120"/>
              <w:ind w:left="142"/>
              <w:jc w:val="both"/>
              <w:rPr>
                <w:rFonts w:ascii="Arial" w:hAnsi="Arial" w:cs="Arial"/>
                <w:i/>
                <w:noProof/>
                <w:sz w:val="18"/>
                <w:szCs w:val="20"/>
              </w:rPr>
            </w:pPr>
            <w:r w:rsidRPr="00F41B75">
              <w:rPr>
                <w:rFonts w:ascii="Arial" w:hAnsi="Arial" w:cs="Arial"/>
                <w:noProof/>
                <w:sz w:val="20"/>
                <w:szCs w:val="20"/>
              </w:rPr>
              <w:t xml:space="preserve"> </w:t>
            </w:r>
            <w:r w:rsidRPr="00F41B75">
              <w:rPr>
                <w:rFonts w:ascii="Arial" w:hAnsi="Arial" w:cs="Arial"/>
                <w:i/>
                <w:noProof/>
                <w:sz w:val="18"/>
                <w:szCs w:val="20"/>
              </w:rPr>
              <w:t>Zdroj: Verstovsek S.; 2015</w:t>
            </w:r>
          </w:p>
          <w:p w:rsidR="00F41B75" w:rsidRPr="00F41B75" w:rsidRDefault="00F41B75" w:rsidP="00F41B75">
            <w:pPr>
              <w:spacing w:after="120"/>
              <w:ind w:left="142"/>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 80. týždni primárna odpoveď zostala trvanlivá a bola zachovaná u 18,2% (95% CI 11,5-26,7) </w:t>
            </w:r>
            <w:r w:rsidRPr="00F41B75">
              <w:rPr>
                <w:rFonts w:ascii="Arial" w:hAnsi="Arial" w:cs="Arial"/>
                <w:noProof/>
                <w:sz w:val="20"/>
                <w:szCs w:val="20"/>
              </w:rPr>
              <w:lastRenderedPageBreak/>
              <w:t xml:space="preserve">pacientov liečených JAKAVI. Pacienti randomizovaní na liečbu JAKAVI mali pravdepodobnosť 0,92 na zachovanie primárnej odpovede počas 80 týždňov alebo dlhšie (obr. č. </w:t>
            </w:r>
            <w:r w:rsidR="00673D6C">
              <w:rPr>
                <w:rFonts w:ascii="Arial" w:hAnsi="Arial" w:cs="Arial"/>
                <w:noProof/>
                <w:sz w:val="20"/>
                <w:szCs w:val="20"/>
              </w:rPr>
              <w:t>11</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673D6C" w:rsidRDefault="00F41B75" w:rsidP="00673D6C">
            <w:pPr>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11  </w:t>
            </w:r>
            <w:r w:rsidRPr="00F41B75">
              <w:rPr>
                <w:rFonts w:ascii="Arial" w:hAnsi="Arial" w:cs="Arial"/>
                <w:noProof/>
                <w:sz w:val="20"/>
                <w:szCs w:val="20"/>
              </w:rPr>
              <w:t>Trvanie odpovede – dosiahnutého primárneho cieľového zloženého ukazovateľa počas</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 </w:t>
            </w:r>
            <w:r w:rsidR="00673D6C">
              <w:rPr>
                <w:rFonts w:ascii="Arial" w:hAnsi="Arial" w:cs="Arial"/>
                <w:noProof/>
                <w:sz w:val="20"/>
                <w:szCs w:val="20"/>
              </w:rPr>
              <w:t xml:space="preserve">                    </w:t>
            </w:r>
            <w:r w:rsidRPr="00F41B75">
              <w:rPr>
                <w:rFonts w:ascii="Arial" w:hAnsi="Arial" w:cs="Arial"/>
                <w:noProof/>
                <w:sz w:val="20"/>
                <w:szCs w:val="20"/>
              </w:rPr>
              <w:t>80 týždňov alebo dlhšie u pacientov liečených JAKAVI – štúdia RESPONSE</w:t>
            </w:r>
          </w:p>
          <w:p w:rsidR="00F41B75" w:rsidRPr="00F41B75" w:rsidRDefault="00F41B75" w:rsidP="00F41B75">
            <w:pPr>
              <w:spacing w:after="120"/>
              <w:ind w:left="142"/>
              <w:jc w:val="both"/>
              <w:rPr>
                <w:rFonts w:ascii="Arial" w:hAnsi="Arial" w:cs="Arial"/>
                <w:noProof/>
                <w:sz w:val="20"/>
                <w:szCs w:val="20"/>
              </w:rPr>
            </w:pPr>
            <w:r w:rsidRPr="00F41B75">
              <w:rPr>
                <w:noProof/>
                <w:lang w:val="en-US" w:eastAsia="en-US"/>
              </w:rPr>
              <w:drawing>
                <wp:inline distT="0" distB="0" distL="0" distR="0" wp14:anchorId="74C4A1E5" wp14:editId="3683BCB6">
                  <wp:extent cx="4808220" cy="2627589"/>
                  <wp:effectExtent l="0" t="0" r="0" b="1905"/>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823512" cy="2635946"/>
                          </a:xfrm>
                          <a:prstGeom prst="rect">
                            <a:avLst/>
                          </a:prstGeom>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Verstovsek S.;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Podobná trvanlivosť bola dosiahnutá aj pre jednotlivé zložky primárneho koncového bodu: v 48. týždni 54,5% pacientov (95% CI 44,8-64,1) liečených JAKAVI dosahovalo určené hodnoty hematokritu a u 35,5% pacientov (95% CI 26,6-45,1) pretrvávalo zníženie objemu sleziny najmenej o 35% oproti východiskovej hodnote. Na rozdiel od tohto sa dosiahla kontrola hematokritu a minimálne 35%-né zníženie objemu sleziny iba u 1,8% (95% CI 0,2-6,3) a 0,9% (95% CI 0,0-4,9) pacientov, ktorí boli liečení BAT.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V 80. týždni 60,0% pacientov randomizovaných na JAKAVI dosahovalo správne hodnoty hematokritu a pravdepodobnosť udržiavania kontroly hematokritu najmenej 80 týždňov od času odpovede bola 89%. V skupine pacientov liečenej ruxolitinibom sa priemerné zníženie objemu sleziny časom zvyšovalo až do 80. týždňa (obr. č.</w:t>
            </w:r>
            <w:r w:rsidR="00673D6C">
              <w:rPr>
                <w:rFonts w:ascii="Arial" w:hAnsi="Arial" w:cs="Arial"/>
                <w:noProof/>
                <w:sz w:val="20"/>
                <w:szCs w:val="20"/>
              </w:rPr>
              <w:t xml:space="preserve"> 12</w:t>
            </w:r>
            <w:r w:rsidRPr="00F41B75">
              <w:rPr>
                <w:rFonts w:ascii="Arial" w:hAnsi="Arial" w:cs="Arial"/>
                <w:noProof/>
                <w:sz w:val="20"/>
                <w:szCs w:val="20"/>
              </w:rPr>
              <w:t>). Zo 40,0% pacientov, ktorí dosiahli minimálne stanovené  zníženie objemu sleziny o 35% oproti východiskovej hodnote, nedošlo v 80. týždni ani u jedného k zániku odpovede.</w:t>
            </w:r>
          </w:p>
          <w:p w:rsidR="00F41B75" w:rsidRDefault="00F41B75"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Default="00962608" w:rsidP="00F41B75">
            <w:pPr>
              <w:spacing w:after="120"/>
              <w:jc w:val="both"/>
              <w:rPr>
                <w:rFonts w:ascii="Arial" w:hAnsi="Arial" w:cs="Arial"/>
                <w:noProof/>
                <w:sz w:val="20"/>
                <w:szCs w:val="20"/>
              </w:rPr>
            </w:pPr>
          </w:p>
          <w:p w:rsidR="00962608" w:rsidRPr="00F41B75" w:rsidRDefault="00962608" w:rsidP="00F41B75">
            <w:pPr>
              <w:spacing w:after="120"/>
              <w:jc w:val="both"/>
              <w:rPr>
                <w:rFonts w:ascii="Arial" w:hAnsi="Arial" w:cs="Arial"/>
                <w:noProof/>
                <w:sz w:val="20"/>
                <w:szCs w:val="20"/>
              </w:rPr>
            </w:pPr>
          </w:p>
          <w:p w:rsidR="00673D6C" w:rsidRDefault="00F41B75" w:rsidP="00673D6C">
            <w:pPr>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12  </w:t>
            </w:r>
            <w:r w:rsidRPr="00F41B75">
              <w:rPr>
                <w:rFonts w:ascii="Arial" w:hAnsi="Arial" w:cs="Arial"/>
                <w:noProof/>
                <w:sz w:val="20"/>
                <w:szCs w:val="20"/>
              </w:rPr>
              <w:t>Zmena objemu sleziny v porovnaní s východiskovou hodnotou do 80. týždňa – štúdia</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 </w:t>
            </w:r>
            <w:r w:rsidR="00673D6C">
              <w:rPr>
                <w:rFonts w:ascii="Arial" w:hAnsi="Arial" w:cs="Arial"/>
                <w:noProof/>
                <w:sz w:val="20"/>
                <w:szCs w:val="20"/>
              </w:rPr>
              <w:t xml:space="preserve">                    </w:t>
            </w:r>
            <w:r w:rsidRPr="00F41B75">
              <w:rPr>
                <w:rFonts w:ascii="Arial" w:hAnsi="Arial" w:cs="Arial"/>
                <w:noProof/>
                <w:sz w:val="20"/>
                <w:szCs w:val="20"/>
              </w:rPr>
              <w:t>RESPONSE</w:t>
            </w:r>
          </w:p>
          <w:p w:rsidR="00F41B75" w:rsidRPr="00F41B75" w:rsidRDefault="00F41B75" w:rsidP="00F41B75">
            <w:pPr>
              <w:spacing w:after="120"/>
              <w:ind w:left="567"/>
              <w:jc w:val="both"/>
              <w:rPr>
                <w:rFonts w:ascii="Arial" w:hAnsi="Arial" w:cs="Arial"/>
                <w:noProof/>
                <w:sz w:val="20"/>
                <w:szCs w:val="20"/>
              </w:rPr>
            </w:pPr>
            <w:r w:rsidRPr="00F41B75">
              <w:rPr>
                <w:noProof/>
                <w:lang w:val="en-US" w:eastAsia="en-US"/>
              </w:rPr>
              <w:lastRenderedPageBreak/>
              <w:drawing>
                <wp:inline distT="0" distB="0" distL="0" distR="0" wp14:anchorId="76EB68F5" wp14:editId="40266CD9">
                  <wp:extent cx="4483012" cy="2377440"/>
                  <wp:effectExtent l="0" t="0" r="0" b="3810"/>
                  <wp:docPr id="8" name="Obrázo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498336" cy="2385567"/>
                          </a:xfrm>
                          <a:prstGeom prst="rect">
                            <a:avLst/>
                          </a:prstGeom>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 xml:space="preserve">   Zdroj: Verstovsek S.;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Pacientom reportované výsledky</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Príznaková záťaž bola hodnotená pomocou MPN-SAF (MyeloProliferative Neoplasm Symptom Assessment Form) celkového skóre príznakov (total symptom score - TSS) elektronického denníka pacienta, ktorý obsahoval 14 otázok. V 32. týždni dosiahlo 48,6 % pacientov liečených ruxolitinibom ≥50% zníženie TSS-14 a 64% pacientov ≥50% zníženie TSS-5, v porovnaní s iba 5% a 11% pacientov, ktorým bola podávaná BAT.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Pacienti liečení JAKAVI vykazovali významné zlepšenie v skóre jednotlivých symptómov v 32. týždni v porovnaní s východiskovým hodnotením (podľa denníka MPN-SAF). Dramatické zlepšenia boli pozorované najmä pri únave, svrbení, nočnom potení, a pocitoch pri prebudení (obr. č.  ). </w:t>
            </w:r>
          </w:p>
          <w:p w:rsidR="00F41B75" w:rsidRPr="00F41B75" w:rsidRDefault="00F41B75" w:rsidP="00F41B75">
            <w:pPr>
              <w:spacing w:after="120"/>
              <w:jc w:val="both"/>
              <w:rPr>
                <w:rFonts w:ascii="Arial" w:hAnsi="Arial" w:cs="Arial"/>
                <w:noProof/>
                <w:sz w:val="20"/>
                <w:szCs w:val="20"/>
              </w:rPr>
            </w:pPr>
          </w:p>
          <w:p w:rsidR="006A2BA0" w:rsidRDefault="00F41B75" w:rsidP="006A2BA0">
            <w:pPr>
              <w:jc w:val="both"/>
              <w:rPr>
                <w:rFonts w:ascii="Arial" w:hAnsi="Arial" w:cs="Arial"/>
                <w:noProof/>
                <w:sz w:val="20"/>
                <w:szCs w:val="20"/>
              </w:rPr>
            </w:pPr>
            <w:r w:rsidRPr="00F41B75">
              <w:rPr>
                <w:rFonts w:ascii="Arial" w:hAnsi="Arial" w:cs="Arial"/>
                <w:noProof/>
                <w:sz w:val="20"/>
                <w:szCs w:val="20"/>
              </w:rPr>
              <w:t>Obrázok</w:t>
            </w:r>
            <w:r w:rsidR="00673D6C">
              <w:rPr>
                <w:rFonts w:ascii="Arial" w:hAnsi="Arial" w:cs="Arial"/>
                <w:noProof/>
                <w:sz w:val="20"/>
                <w:szCs w:val="20"/>
              </w:rPr>
              <w:t xml:space="preserve"> 13  </w:t>
            </w:r>
            <w:r w:rsidRPr="00F41B75">
              <w:rPr>
                <w:rFonts w:ascii="Arial" w:hAnsi="Arial" w:cs="Arial"/>
                <w:noProof/>
                <w:sz w:val="20"/>
                <w:szCs w:val="20"/>
              </w:rPr>
              <w:t>Medián percentuálnej zmeny skóre individuálnych príznakov v</w:t>
            </w:r>
            <w:r w:rsidR="006A2BA0">
              <w:rPr>
                <w:rFonts w:ascii="Arial" w:hAnsi="Arial" w:cs="Arial"/>
                <w:noProof/>
                <w:sz w:val="20"/>
                <w:szCs w:val="20"/>
              </w:rPr>
              <w:t> </w:t>
            </w:r>
            <w:r w:rsidRPr="00F41B75">
              <w:rPr>
                <w:rFonts w:ascii="Arial" w:hAnsi="Arial" w:cs="Arial"/>
                <w:noProof/>
                <w:sz w:val="20"/>
                <w:szCs w:val="20"/>
              </w:rPr>
              <w:t>porovnaní</w:t>
            </w:r>
          </w:p>
          <w:p w:rsidR="00F41B75" w:rsidRPr="00F41B75" w:rsidRDefault="006A2BA0" w:rsidP="00F41B75">
            <w:pPr>
              <w:spacing w:after="120"/>
              <w:jc w:val="both"/>
              <w:rPr>
                <w:rFonts w:ascii="Arial" w:hAnsi="Arial" w:cs="Arial"/>
                <w:noProof/>
                <w:sz w:val="20"/>
                <w:szCs w:val="20"/>
              </w:rPr>
            </w:pPr>
            <w:r>
              <w:rPr>
                <w:rFonts w:ascii="Arial" w:hAnsi="Arial" w:cs="Arial"/>
                <w:noProof/>
                <w:sz w:val="20"/>
                <w:szCs w:val="20"/>
              </w:rPr>
              <w:t xml:space="preserve"> </w:t>
            </w:r>
            <w:r w:rsidR="00F41B75" w:rsidRPr="00F41B75">
              <w:rPr>
                <w:rFonts w:ascii="Arial" w:hAnsi="Arial" w:cs="Arial"/>
                <w:noProof/>
                <w:sz w:val="20"/>
                <w:szCs w:val="20"/>
              </w:rPr>
              <w:t xml:space="preserve"> </w:t>
            </w:r>
            <w:r>
              <w:rPr>
                <w:rFonts w:ascii="Arial" w:hAnsi="Arial" w:cs="Arial"/>
                <w:noProof/>
                <w:sz w:val="20"/>
                <w:szCs w:val="20"/>
              </w:rPr>
              <w:t xml:space="preserve">                   </w:t>
            </w:r>
            <w:r w:rsidR="00F41B75" w:rsidRPr="00F41B75">
              <w:rPr>
                <w:rFonts w:ascii="Arial" w:hAnsi="Arial" w:cs="Arial"/>
                <w:noProof/>
                <w:sz w:val="20"/>
                <w:szCs w:val="20"/>
              </w:rPr>
              <w:t>s východiskovou hodnotou v 32. týždni – štúdia RESPONSE</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ind w:left="142"/>
              <w:jc w:val="both"/>
              <w:rPr>
                <w:rFonts w:ascii="Arial" w:hAnsi="Arial" w:cs="Arial"/>
                <w:noProof/>
                <w:sz w:val="20"/>
                <w:szCs w:val="20"/>
              </w:rPr>
            </w:pPr>
            <w:r w:rsidRPr="00F41B75">
              <w:rPr>
                <w:noProof/>
                <w:lang w:val="en-US" w:eastAsia="en-US"/>
              </w:rPr>
              <w:drawing>
                <wp:inline distT="0" distB="0" distL="0" distR="0" wp14:anchorId="1D2AA5C3" wp14:editId="0825F705">
                  <wp:extent cx="5073893" cy="2407920"/>
                  <wp:effectExtent l="0" t="0" r="0" b="0"/>
                  <wp:docPr id="14" name="Obrázo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095416" cy="2418134"/>
                          </a:xfrm>
                          <a:prstGeom prst="rect">
                            <a:avLst/>
                          </a:prstGeom>
                        </pic:spPr>
                      </pic:pic>
                    </a:graphicData>
                  </a:graphic>
                </wp:inline>
              </w:drawing>
            </w:r>
            <w:r w:rsidRPr="00F41B75">
              <w:rPr>
                <w:rFonts w:ascii="Arial" w:hAnsi="Arial" w:cs="Arial"/>
                <w:noProof/>
                <w:sz w:val="20"/>
                <w:szCs w:val="20"/>
              </w:rPr>
              <w:t xml:space="preserve">  </w:t>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Vnímanie liečebného prínosu bolo zisťované v dotazníku Celkový dojem pacienta zo zmeny (Patient Global Impression of Change - PGIC). 66 % pacientov liečených ruxolitinibom, v porovnaní s 19 % liečenými BAT, hlásilo zlepšenie už štyri týždne po začiatku liečby. Zlepšenie vo vnímaní liečebného </w:t>
            </w:r>
            <w:r w:rsidRPr="00F41B75">
              <w:rPr>
                <w:rFonts w:ascii="Arial" w:hAnsi="Arial" w:cs="Arial"/>
                <w:noProof/>
                <w:sz w:val="20"/>
                <w:szCs w:val="20"/>
              </w:rPr>
              <w:lastRenderedPageBreak/>
              <w:t>prínosu bolo tiež vyššie u pacientov liečených ruxolitinibom v 32. týždni (78 % oproti 33 %) (obr. č.</w:t>
            </w:r>
            <w:r w:rsidR="006A2BA0">
              <w:rPr>
                <w:rFonts w:ascii="Arial" w:hAnsi="Arial" w:cs="Arial"/>
                <w:noProof/>
                <w:sz w:val="20"/>
                <w:szCs w:val="20"/>
              </w:rPr>
              <w:t xml:space="preserve"> 14</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A2BA0">
              <w:rPr>
                <w:rFonts w:ascii="Arial" w:hAnsi="Arial" w:cs="Arial"/>
                <w:noProof/>
                <w:sz w:val="20"/>
                <w:szCs w:val="20"/>
              </w:rPr>
              <w:t xml:space="preserve"> 14  </w:t>
            </w:r>
            <w:r w:rsidRPr="00F41B75">
              <w:rPr>
                <w:rFonts w:ascii="Arial" w:hAnsi="Arial" w:cs="Arial"/>
                <w:noProof/>
                <w:sz w:val="20"/>
                <w:szCs w:val="20"/>
              </w:rPr>
              <w:t>Vnímanie prínosu liečby podľa PGIC v 32. týždni – štúdia RESPONSE</w:t>
            </w:r>
          </w:p>
          <w:p w:rsidR="00F41B75" w:rsidRPr="00F41B75" w:rsidRDefault="00F41B75" w:rsidP="00F41B75">
            <w:pPr>
              <w:spacing w:after="120"/>
              <w:ind w:left="142"/>
              <w:jc w:val="both"/>
              <w:rPr>
                <w:rFonts w:ascii="Arial" w:hAnsi="Arial" w:cs="Arial"/>
                <w:noProof/>
                <w:sz w:val="20"/>
                <w:szCs w:val="20"/>
              </w:rPr>
            </w:pPr>
            <w:r w:rsidRPr="00F41B75">
              <w:rPr>
                <w:noProof/>
                <w:lang w:val="en-US" w:eastAsia="en-US"/>
              </w:rPr>
              <w:drawing>
                <wp:inline distT="0" distB="0" distL="0" distR="0" wp14:anchorId="338231BD" wp14:editId="24BAFEF9">
                  <wp:extent cx="4888462" cy="2346960"/>
                  <wp:effectExtent l="0" t="0" r="762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25" cstate="print"/>
                          <a:srcRect/>
                          <a:stretch>
                            <a:fillRect/>
                          </a:stretch>
                        </pic:blipFill>
                        <pic:spPr bwMode="auto">
                          <a:xfrm>
                            <a:off x="0" y="0"/>
                            <a:ext cx="4939918" cy="2371664"/>
                          </a:xfrm>
                          <a:prstGeom prst="rect">
                            <a:avLst/>
                          </a:prstGeom>
                          <a:noFill/>
                          <a:ln w="9525">
                            <a:noFill/>
                            <a:miter lim="800000"/>
                            <a:headEnd/>
                            <a:tailEnd/>
                          </a:ln>
                        </pic:spPr>
                      </pic:pic>
                    </a:graphicData>
                  </a:graphic>
                </wp:inline>
              </w:drawing>
            </w:r>
            <w:r w:rsidRPr="00F41B75">
              <w:rPr>
                <w:rFonts w:ascii="Arial" w:hAnsi="Arial" w:cs="Arial"/>
                <w:noProof/>
                <w:sz w:val="20"/>
                <w:szCs w:val="20"/>
              </w:rPr>
              <w:t xml:space="preserve"> </w:t>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2015</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Podobne v 32. týždni u pacientov liečených JAKAVI došlo k väčšiemu zlepšeniu, pokiaľ ide o celkovú kvalitu života (QoL) – podľa dotazníka EORTC QLQ-C30 v porovnaní s pacientami liečenými BAT. Významne sa zlepšil globálny zdravotný stav (priemerná zmena +10,86), pozitívne zmeny boli zaznamenané aj vo všetkých 5 funkčných oblastiach (rozsah priemernej zmeny +4,17 až +17,78. Pacienti randomizovaní na podávanie BAT vykazovali minimálne zmeny vo všetkých oblastiach (rozsah priemernej zmeny -4,82 až +1,04) (obr. č.</w:t>
            </w:r>
            <w:r w:rsidR="006A2BA0">
              <w:rPr>
                <w:rFonts w:ascii="Arial" w:hAnsi="Arial" w:cs="Arial"/>
                <w:noProof/>
                <w:sz w:val="20"/>
                <w:szCs w:val="20"/>
              </w:rPr>
              <w:t xml:space="preserve"> 15</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Obrázok</w:t>
            </w:r>
            <w:r w:rsidR="006A2BA0">
              <w:rPr>
                <w:rFonts w:ascii="Arial" w:hAnsi="Arial" w:cs="Arial"/>
                <w:noProof/>
                <w:sz w:val="20"/>
                <w:szCs w:val="20"/>
              </w:rPr>
              <w:t xml:space="preserve"> 15  </w:t>
            </w:r>
            <w:r w:rsidRPr="00F41B75">
              <w:rPr>
                <w:rFonts w:ascii="Arial" w:hAnsi="Arial" w:cs="Arial"/>
                <w:noProof/>
                <w:sz w:val="20"/>
                <w:szCs w:val="20"/>
              </w:rPr>
              <w:t>Priemerná zmena v oblastiach podľa EORTC QLQ-C30 – štúdia RESPONSE</w:t>
            </w:r>
          </w:p>
          <w:p w:rsidR="00F41B75" w:rsidRPr="00F41B75" w:rsidRDefault="00F41B75" w:rsidP="00F41B75">
            <w:pPr>
              <w:spacing w:after="120"/>
              <w:ind w:left="284"/>
              <w:jc w:val="both"/>
              <w:rPr>
                <w:rFonts w:ascii="Arial" w:hAnsi="Arial" w:cs="Arial"/>
                <w:noProof/>
                <w:sz w:val="20"/>
                <w:szCs w:val="20"/>
              </w:rPr>
            </w:pPr>
            <w:r w:rsidRPr="00F41B75">
              <w:rPr>
                <w:noProof/>
                <w:lang w:val="en-US" w:eastAsia="en-US"/>
              </w:rPr>
              <w:drawing>
                <wp:inline distT="0" distB="0" distL="0" distR="0" wp14:anchorId="34D44BBB" wp14:editId="4F6A2464">
                  <wp:extent cx="4234543" cy="2963847"/>
                  <wp:effectExtent l="0" t="0" r="0" b="8255"/>
                  <wp:docPr id="489"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6" cstate="print">
                            <a:extLst>
                              <a:ext uri="{28A0092B-C50C-407E-A947-70E740481C1C}">
                                <a14:useLocalDpi xmlns:a14="http://schemas.microsoft.com/office/drawing/2010/main" val="0"/>
                              </a:ext>
                            </a:extLst>
                          </a:blip>
                          <a:srcRect l="2942" t="4063" r="3874" b="5777"/>
                          <a:stretch>
                            <a:fillRect/>
                          </a:stretch>
                        </pic:blipFill>
                        <pic:spPr bwMode="auto">
                          <a:xfrm>
                            <a:off x="0" y="0"/>
                            <a:ext cx="4243915" cy="2970407"/>
                          </a:xfrm>
                          <a:prstGeom prst="rect">
                            <a:avLst/>
                          </a:prstGeom>
                          <a:noFill/>
                          <a:ln>
                            <a:noFill/>
                          </a:ln>
                        </pic:spPr>
                      </pic:pic>
                    </a:graphicData>
                  </a:graphic>
                </wp:inline>
              </w:drawing>
            </w:r>
          </w:p>
          <w:p w:rsidR="00F41B75" w:rsidRPr="00F41B75" w:rsidRDefault="00F41B75" w:rsidP="00F41B75">
            <w:pPr>
              <w:spacing w:after="120"/>
              <w:jc w:val="both"/>
              <w:rPr>
                <w:rFonts w:ascii="Arial" w:hAnsi="Arial" w:cs="Arial"/>
                <w:i/>
                <w:noProof/>
                <w:sz w:val="18"/>
                <w:szCs w:val="20"/>
              </w:rPr>
            </w:pPr>
            <w:r w:rsidRPr="00F41B75">
              <w:rPr>
                <w:rFonts w:ascii="Arial" w:hAnsi="Arial" w:cs="Arial"/>
                <w:i/>
                <w:noProof/>
                <w:sz w:val="18"/>
                <w:szCs w:val="20"/>
              </w:rPr>
              <w:t>Zdroj: Vannucchi, A.M.; 2015</w:t>
            </w: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RESPONSE-2</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RESPONSE-2 je randomizovaná kontrolovaná štúdia, ktorej cieľom je vyhodnotiť účinnosť a bezpečnosť podávania JAKAVI u pacientov s PV, ktorí v predchádzajúcom období boli liečení </w:t>
            </w:r>
            <w:r w:rsidRPr="00F41B75">
              <w:rPr>
                <w:rFonts w:ascii="Arial" w:hAnsi="Arial" w:cs="Arial"/>
                <w:noProof/>
                <w:sz w:val="20"/>
                <w:szCs w:val="20"/>
              </w:rPr>
              <w:lastRenderedPageBreak/>
              <w:t xml:space="preserve">hydroxyureou a liečba bola ukončená buď z dôvodu progresie ochorenia alebo neznášanlivosti pacientom a nie je u nich hmatná splenomegália (dôvod nezaradenia do štúdie RESPONSE).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Do štúdie bolo zaradených 149 pacientov, ktorí boli v pomere 1:1 randomizovaní do ramena s podávaním ruxolitinibu (JAKAVI) v dávke 10 mg a do kontrolného ramena s podávaním BAT podľa výberu ošetrujúceho lekára v trvaní minimálne 28 týždňov. Po 28. týždni mohli byť pacienti dostávajúci BAT preradení na liečbu ruxolitinibom v prípade, ak hodnoty hematokritu boli vyššie ako 45%, bola potrebná flebotómia na kontrolu hematokritu alebo liečba BAT musela byť prerušená z bezpečnostných dôvodov. Demografické a klinické charakteristiky pacientov v oboch ramenách boli porovnateľné.</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Primárnym kľúčovým ukazovateľom bol podiel pacientov, ktorí dosiahli kontrolu hematokritu v 28. týždni. Kontrola hematokritu bola definovaná ako absencia indikácie k flebotómii od 8. týždňa po 28. týždeň a nie viac ako jednou flebotómiou od randomizácie do 8. týždňa.</w:t>
            </w:r>
          </w:p>
          <w:p w:rsidR="00F41B75" w:rsidRPr="00F41B75" w:rsidRDefault="00F41B75" w:rsidP="00681311">
            <w:pPr>
              <w:spacing w:after="120"/>
              <w:jc w:val="both"/>
              <w:rPr>
                <w:rFonts w:ascii="Arial" w:hAnsi="Arial" w:cs="Arial"/>
                <w:noProof/>
                <w:sz w:val="20"/>
                <w:szCs w:val="20"/>
              </w:rPr>
            </w:pPr>
            <w:r w:rsidRPr="00F41B75">
              <w:rPr>
                <w:rFonts w:ascii="Arial" w:hAnsi="Arial" w:cs="Arial"/>
                <w:noProof/>
                <w:sz w:val="20"/>
                <w:szCs w:val="20"/>
              </w:rPr>
              <w:t>Sekundárnym ukazovateľom bol podiel pacientov, ktorí dosiahli úplnú hematologick</w:t>
            </w:r>
            <w:r w:rsidR="00681311">
              <w:rPr>
                <w:rFonts w:ascii="Arial" w:hAnsi="Arial" w:cs="Arial"/>
                <w:noProof/>
                <w:sz w:val="20"/>
                <w:szCs w:val="20"/>
              </w:rPr>
              <w:t>ú</w:t>
            </w:r>
            <w:r w:rsidRPr="00F41B75">
              <w:rPr>
                <w:rFonts w:ascii="Arial" w:hAnsi="Arial" w:cs="Arial"/>
                <w:noProof/>
                <w:sz w:val="20"/>
                <w:szCs w:val="20"/>
              </w:rPr>
              <w:t xml:space="preserve"> remisiu v 28. týždni. Úplná hematologická remisia bola definovaná ako kontrola hematokritu (podmienky podľa primárneho ukazovateľa), počet leukocytov &lt;10 × 10</w:t>
            </w:r>
            <w:r w:rsidRPr="00F41B75">
              <w:rPr>
                <w:rFonts w:ascii="Arial" w:hAnsi="Arial" w:cs="Arial"/>
                <w:noProof/>
                <w:sz w:val="20"/>
                <w:szCs w:val="20"/>
                <w:vertAlign w:val="superscript"/>
              </w:rPr>
              <w:t>9</w:t>
            </w:r>
            <w:r w:rsidRPr="00F41B75">
              <w:rPr>
                <w:rFonts w:ascii="Arial" w:hAnsi="Arial" w:cs="Arial"/>
                <w:noProof/>
                <w:sz w:val="20"/>
                <w:szCs w:val="20"/>
              </w:rPr>
              <w:t>/l , počet trombocytov &lt;400 × 10</w:t>
            </w:r>
            <w:r w:rsidRPr="00F41B75">
              <w:rPr>
                <w:rFonts w:ascii="Arial" w:hAnsi="Arial" w:cs="Arial"/>
                <w:noProof/>
                <w:sz w:val="20"/>
                <w:szCs w:val="20"/>
                <w:vertAlign w:val="superscript"/>
              </w:rPr>
              <w:t>9</w:t>
            </w:r>
            <w:r w:rsidRPr="00F41B75">
              <w:rPr>
                <w:rFonts w:ascii="Arial" w:hAnsi="Arial" w:cs="Arial"/>
                <w:noProof/>
                <w:sz w:val="20"/>
                <w:szCs w:val="20"/>
              </w:rPr>
              <w:t>/l.</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 xml:space="preserve">V čase primárnej analýzy a ukončenia prvej etapy zberu dát bol podiel pacientov pokračujúcich v randomizovanej liečbe podstatne vyšší v ramene s JAKAVI (97,3%) v porovnaní so skupinou pacientov liečenou BAT (25,3%). Väčšina pacientov, ktorí prerušili liečbu BAT, prešli na liečbu ruxolitinibom (51 z 56 pacientov) pretože nereagovali na BAT do 28. týždňa a splnili podmienky prechodu na liečbu JAKAVI. </w:t>
            </w:r>
          </w:p>
          <w:p w:rsidR="00F41B75" w:rsidRPr="00F41B75" w:rsidRDefault="00F41B75" w:rsidP="00F41B75">
            <w:pPr>
              <w:spacing w:after="120"/>
              <w:jc w:val="both"/>
              <w:rPr>
                <w:rFonts w:ascii="Arial" w:hAnsi="Arial" w:cs="Arial"/>
                <w:b/>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Výsledky štúdie</w:t>
            </w:r>
          </w:p>
          <w:p w:rsidR="00F41B75" w:rsidRPr="00F41B75" w:rsidRDefault="00F41B75" w:rsidP="00962608">
            <w:pPr>
              <w:spacing w:after="120"/>
              <w:jc w:val="both"/>
              <w:rPr>
                <w:rFonts w:ascii="Arial" w:hAnsi="Arial" w:cs="Arial"/>
                <w:noProof/>
                <w:sz w:val="20"/>
                <w:szCs w:val="20"/>
              </w:rPr>
            </w:pPr>
            <w:r w:rsidRPr="00F41B75">
              <w:rPr>
                <w:rFonts w:ascii="Arial" w:hAnsi="Arial" w:cs="Arial"/>
                <w:noProof/>
                <w:sz w:val="20"/>
                <w:szCs w:val="20"/>
              </w:rPr>
              <w:t>RESPONSE-2 splnila svoj primárny koncový ukazovateľ, pričom JAKAVI poskytovalo lepšiu kontrolu hematokritu (absencia vhodnosti pre flebotómiu). Dosiahnutie primárneho koncového ukazovateľa v štúdii RESPONSE-2 ukazuje tab. č.</w:t>
            </w:r>
            <w:r w:rsidR="006A2BA0">
              <w:rPr>
                <w:rFonts w:ascii="Arial" w:hAnsi="Arial" w:cs="Arial"/>
                <w:noProof/>
                <w:sz w:val="20"/>
                <w:szCs w:val="20"/>
              </w:rPr>
              <w:t xml:space="preserve"> </w:t>
            </w:r>
            <w:r w:rsidR="00962608">
              <w:rPr>
                <w:rFonts w:ascii="Arial" w:hAnsi="Arial" w:cs="Arial"/>
                <w:noProof/>
                <w:sz w:val="20"/>
                <w:szCs w:val="20"/>
              </w:rPr>
              <w:t>4</w:t>
            </w:r>
            <w:r w:rsidRPr="00F41B75">
              <w:rPr>
                <w:rFonts w:ascii="Arial" w:hAnsi="Arial" w:cs="Arial"/>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F41B75" w:rsidP="00962608">
            <w:pPr>
              <w:spacing w:after="120"/>
              <w:jc w:val="both"/>
              <w:rPr>
                <w:rFonts w:ascii="Arial" w:hAnsi="Arial" w:cs="Arial"/>
                <w:noProof/>
                <w:sz w:val="20"/>
                <w:szCs w:val="20"/>
              </w:rPr>
            </w:pPr>
            <w:r w:rsidRPr="00F41B75">
              <w:rPr>
                <w:rFonts w:ascii="Arial" w:hAnsi="Arial" w:cs="Arial"/>
                <w:noProof/>
                <w:sz w:val="20"/>
                <w:szCs w:val="20"/>
              </w:rPr>
              <w:t>Tabuľka</w:t>
            </w:r>
            <w:r w:rsidR="006A2BA0">
              <w:rPr>
                <w:rFonts w:ascii="Arial" w:hAnsi="Arial" w:cs="Arial"/>
                <w:noProof/>
                <w:sz w:val="20"/>
                <w:szCs w:val="20"/>
              </w:rPr>
              <w:t xml:space="preserve"> </w:t>
            </w:r>
            <w:r w:rsidR="00962608">
              <w:rPr>
                <w:rFonts w:ascii="Arial" w:hAnsi="Arial" w:cs="Arial"/>
                <w:noProof/>
                <w:sz w:val="20"/>
                <w:szCs w:val="20"/>
              </w:rPr>
              <w:t>4</w:t>
            </w:r>
            <w:r w:rsidR="006A2BA0">
              <w:rPr>
                <w:rFonts w:ascii="Arial" w:hAnsi="Arial" w:cs="Arial"/>
                <w:noProof/>
                <w:sz w:val="20"/>
                <w:szCs w:val="20"/>
              </w:rPr>
              <w:t xml:space="preserve">  </w:t>
            </w:r>
            <w:r w:rsidRPr="00F41B75">
              <w:rPr>
                <w:rFonts w:ascii="Arial" w:hAnsi="Arial" w:cs="Arial"/>
                <w:noProof/>
                <w:sz w:val="20"/>
                <w:szCs w:val="20"/>
              </w:rPr>
              <w:t>Podiel pacientov dosahujúcich kontrolu hematokritu v 28. týždni – štúdia RESPONSE-2</w:t>
            </w:r>
          </w:p>
          <w:tbl>
            <w:tblPr>
              <w:tblStyle w:val="MediumGrid31"/>
              <w:tblW w:w="4646" w:type="pct"/>
              <w:tblInd w:w="108" w:type="dxa"/>
              <w:tblLook w:val="06A0" w:firstRow="1" w:lastRow="0" w:firstColumn="1" w:lastColumn="0" w:noHBand="1" w:noVBand="1"/>
            </w:tblPr>
            <w:tblGrid>
              <w:gridCol w:w="5553"/>
              <w:gridCol w:w="1331"/>
              <w:gridCol w:w="1479"/>
            </w:tblGrid>
            <w:tr w:rsidR="00F41B75" w:rsidRPr="00F41B75" w:rsidTr="00F41B75">
              <w:trPr>
                <w:cnfStyle w:val="100000000000" w:firstRow="1" w:lastRow="0" w:firstColumn="0" w:lastColumn="0" w:oddVBand="0" w:evenVBand="0" w:oddHBand="0" w:evenHBand="0" w:firstRowFirstColumn="0" w:firstRowLastColumn="0" w:lastRowFirstColumn="0" w:lastRowLastColumn="0"/>
                <w:trHeight w:val="63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noProof/>
                      <w:color w:val="auto"/>
                      <w:szCs w:val="16"/>
                      <w:lang w:val="sk-SK"/>
                    </w:rPr>
                  </w:pPr>
                  <w:r w:rsidRPr="00F41B75">
                    <w:rPr>
                      <w:rFonts w:ascii="Arial" w:hAnsi="Arial" w:cs="Arial"/>
                      <w:noProof/>
                      <w:color w:val="auto"/>
                      <w:szCs w:val="16"/>
                      <w:lang w:val="sk-SK"/>
                    </w:rPr>
                    <w:t>Parameter</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Cs w:val="16"/>
                      <w:lang w:val="sk-SK"/>
                    </w:rPr>
                  </w:pPr>
                  <w:r w:rsidRPr="00F41B75">
                    <w:rPr>
                      <w:rFonts w:ascii="Arial" w:hAnsi="Arial" w:cs="Arial"/>
                      <w:noProof/>
                      <w:color w:val="auto"/>
                      <w:szCs w:val="16"/>
                      <w:lang w:val="sk-SK"/>
                    </w:rPr>
                    <w:t>JAKAVI</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Cs w:val="16"/>
                      <w:lang w:val="sk-SK"/>
                    </w:rPr>
                  </w:pPr>
                  <w:r w:rsidRPr="00F41B75">
                    <w:rPr>
                      <w:rFonts w:ascii="Arial" w:hAnsi="Arial" w:cs="Arial"/>
                      <w:noProof/>
                      <w:color w:val="auto"/>
                      <w:szCs w:val="16"/>
                      <w:lang w:val="sk-SK"/>
                    </w:rPr>
                    <w:t>n = 74</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Cs w:val="16"/>
                      <w:lang w:val="sk-SK"/>
                    </w:rPr>
                  </w:pPr>
                  <w:r w:rsidRPr="00F41B75">
                    <w:rPr>
                      <w:rFonts w:ascii="Arial" w:hAnsi="Arial" w:cs="Arial"/>
                      <w:bCs w:val="0"/>
                      <w:noProof/>
                      <w:color w:val="auto"/>
                      <w:szCs w:val="16"/>
                      <w:lang w:val="sk-SK"/>
                    </w:rPr>
                    <w:t>BAT</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Cs w:val="16"/>
                      <w:lang w:val="sk-SK"/>
                    </w:rPr>
                  </w:pPr>
                  <w:r w:rsidRPr="00F41B75">
                    <w:rPr>
                      <w:rFonts w:ascii="Arial" w:hAnsi="Arial" w:cs="Arial"/>
                      <w:bCs w:val="0"/>
                      <w:noProof/>
                      <w:color w:val="auto"/>
                      <w:szCs w:val="16"/>
                      <w:lang w:val="sk-SK"/>
                    </w:rPr>
                    <w:t>n = 75</w:t>
                  </w:r>
                </w:p>
              </w:tc>
            </w:tr>
            <w:tr w:rsidR="00F41B75" w:rsidRPr="00F41B75" w:rsidTr="00F41B75">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Pacienti s kontrolou hematokritu v 28. týždni, n (%)</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46 (62,2)</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14 (18,7)</w:t>
                  </w:r>
                </w:p>
              </w:tc>
            </w:tr>
            <w:tr w:rsidR="00F41B75" w:rsidRPr="00F41B75" w:rsidTr="00F41B75">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 xml:space="preserve">95% CI </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50,1 – 73,2</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10,6 – 29,3</w:t>
                  </w:r>
                </w:p>
              </w:tc>
            </w:tr>
            <w:tr w:rsidR="00F41B75" w:rsidRPr="00F41B75" w:rsidTr="00F41B75">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p-hodnota</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&lt; 0,0001</w:t>
                  </w:r>
                </w:p>
              </w:tc>
            </w:tr>
            <w:tr w:rsidR="00F41B75" w:rsidRPr="00F41B75" w:rsidTr="00F41B75">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Odds ratio (JAKAVI / BAT) a 95% CI</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7,28 (3,43</w:t>
                  </w:r>
                  <w:r w:rsidR="00B16436">
                    <w:rPr>
                      <w:rFonts w:ascii="Arial" w:hAnsi="Arial" w:cs="Arial"/>
                      <w:noProof/>
                      <w:szCs w:val="16"/>
                      <w:lang w:val="sk-SK"/>
                    </w:rPr>
                    <w:t xml:space="preserve"> </w:t>
                  </w:r>
                  <w:r w:rsidRPr="00F41B75">
                    <w:rPr>
                      <w:rFonts w:ascii="Arial" w:hAnsi="Arial" w:cs="Arial"/>
                      <w:noProof/>
                      <w:szCs w:val="16"/>
                      <w:lang w:val="sk-SK"/>
                    </w:rPr>
                    <w:t>–</w:t>
                  </w:r>
                  <w:r w:rsidR="00B16436">
                    <w:rPr>
                      <w:rFonts w:ascii="Arial" w:hAnsi="Arial" w:cs="Arial"/>
                      <w:noProof/>
                      <w:szCs w:val="16"/>
                      <w:lang w:val="sk-SK"/>
                    </w:rPr>
                    <w:t xml:space="preserve"> </w:t>
                  </w:r>
                  <w:r w:rsidRPr="00F41B75">
                    <w:rPr>
                      <w:rFonts w:ascii="Arial" w:hAnsi="Arial" w:cs="Arial"/>
                      <w:noProof/>
                      <w:szCs w:val="16"/>
                      <w:lang w:val="sk-SK"/>
                    </w:rPr>
                    <w:t>15,45)</w:t>
                  </w:r>
                </w:p>
              </w:tc>
            </w:tr>
            <w:tr w:rsidR="00F41B75" w:rsidRPr="00F41B75" w:rsidTr="00F41B75">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Rozdiel v miere odpovede (JAKAVI – BAT) a 95% CI</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6"/>
                      <w:lang w:val="sk-SK"/>
                    </w:rPr>
                  </w:pPr>
                  <w:r w:rsidRPr="00F41B75">
                    <w:rPr>
                      <w:rFonts w:ascii="Arial" w:hAnsi="Arial" w:cs="Arial"/>
                      <w:noProof/>
                      <w:szCs w:val="16"/>
                      <w:lang w:val="sk-SK"/>
                    </w:rPr>
                    <w:t>43,50 (29,36</w:t>
                  </w:r>
                  <w:r w:rsidR="00B16436">
                    <w:rPr>
                      <w:rFonts w:ascii="Arial" w:hAnsi="Arial" w:cs="Arial"/>
                      <w:noProof/>
                      <w:szCs w:val="16"/>
                      <w:lang w:val="sk-SK"/>
                    </w:rPr>
                    <w:t xml:space="preserve"> </w:t>
                  </w:r>
                  <w:r w:rsidRPr="00F41B75">
                    <w:rPr>
                      <w:rFonts w:ascii="Arial" w:hAnsi="Arial" w:cs="Arial"/>
                      <w:noProof/>
                      <w:szCs w:val="16"/>
                      <w:lang w:val="sk-SK"/>
                    </w:rPr>
                    <w:t>–</w:t>
                  </w:r>
                  <w:r w:rsidR="00B16436">
                    <w:rPr>
                      <w:rFonts w:ascii="Arial" w:hAnsi="Arial" w:cs="Arial"/>
                      <w:noProof/>
                      <w:szCs w:val="16"/>
                      <w:lang w:val="sk-SK"/>
                    </w:rPr>
                    <w:t xml:space="preserve"> </w:t>
                  </w:r>
                  <w:r w:rsidRPr="00F41B75">
                    <w:rPr>
                      <w:rFonts w:ascii="Arial" w:hAnsi="Arial" w:cs="Arial"/>
                      <w:noProof/>
                      <w:szCs w:val="16"/>
                      <w:lang w:val="sk-SK"/>
                    </w:rPr>
                    <w:t>57,63)</w:t>
                  </w:r>
                </w:p>
              </w:tc>
            </w:tr>
          </w:tbl>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noProof/>
                <w:sz w:val="20"/>
                <w:szCs w:val="20"/>
              </w:rPr>
            </w:pPr>
          </w:p>
          <w:p w:rsidR="00F41B75" w:rsidRPr="00F41B75" w:rsidRDefault="00F41B75" w:rsidP="00962608">
            <w:pPr>
              <w:spacing w:after="120"/>
              <w:jc w:val="both"/>
              <w:rPr>
                <w:rFonts w:ascii="Arial" w:hAnsi="Arial" w:cs="Arial"/>
                <w:noProof/>
                <w:sz w:val="20"/>
                <w:szCs w:val="20"/>
              </w:rPr>
            </w:pPr>
            <w:r w:rsidRPr="00F41B75">
              <w:rPr>
                <w:rFonts w:ascii="Arial" w:hAnsi="Arial" w:cs="Arial"/>
                <w:noProof/>
                <w:sz w:val="20"/>
                <w:szCs w:val="20"/>
              </w:rPr>
              <w:t>Rovnako bol splnený aj sekundárny koncový ukazovateľ – dosiahnutie úplnej hematologickej odpovede podľa stanovených kritérií. V 28. týždni dosiahlo úplnú hematologickú odpoveď 23,0% pacientov z tých, ktorí boli liečení JAKAVI a 5,3% pacientov zo skupiny liečenej BAT (tab. č.</w:t>
            </w:r>
            <w:r w:rsidR="006A2BA0">
              <w:rPr>
                <w:rFonts w:ascii="Arial" w:hAnsi="Arial" w:cs="Arial"/>
                <w:noProof/>
                <w:sz w:val="20"/>
                <w:szCs w:val="20"/>
              </w:rPr>
              <w:t xml:space="preserve"> </w:t>
            </w:r>
            <w:r w:rsidR="00962608">
              <w:rPr>
                <w:rFonts w:ascii="Arial" w:hAnsi="Arial" w:cs="Arial"/>
                <w:noProof/>
                <w:sz w:val="20"/>
                <w:szCs w:val="20"/>
              </w:rPr>
              <w:t>5</w:t>
            </w:r>
            <w:r w:rsidRPr="00F41B75">
              <w:rPr>
                <w:rFonts w:ascii="Arial" w:hAnsi="Arial" w:cs="Arial"/>
                <w:noProof/>
                <w:sz w:val="20"/>
                <w:szCs w:val="20"/>
              </w:rPr>
              <w:t>).</w:t>
            </w:r>
          </w:p>
          <w:p w:rsidR="00F41B75" w:rsidRPr="00F41B75" w:rsidRDefault="00F41B75" w:rsidP="00F41B75">
            <w:pPr>
              <w:spacing w:after="120"/>
              <w:jc w:val="both"/>
              <w:rPr>
                <w:rFonts w:ascii="Arial" w:hAnsi="Arial" w:cs="Arial"/>
                <w:b/>
                <w:noProof/>
                <w:sz w:val="20"/>
                <w:szCs w:val="20"/>
              </w:rPr>
            </w:pPr>
          </w:p>
          <w:p w:rsidR="006A2BA0" w:rsidRDefault="00F41B75" w:rsidP="00962608">
            <w:pPr>
              <w:jc w:val="both"/>
              <w:rPr>
                <w:rFonts w:ascii="Arial" w:hAnsi="Arial" w:cs="Arial"/>
                <w:noProof/>
                <w:sz w:val="20"/>
                <w:szCs w:val="20"/>
              </w:rPr>
            </w:pPr>
            <w:r w:rsidRPr="00F41B75">
              <w:rPr>
                <w:rFonts w:ascii="Arial" w:hAnsi="Arial" w:cs="Arial"/>
                <w:noProof/>
                <w:sz w:val="20"/>
                <w:szCs w:val="20"/>
              </w:rPr>
              <w:t>Tabuľka</w:t>
            </w:r>
            <w:r w:rsidR="006A2BA0">
              <w:rPr>
                <w:rFonts w:ascii="Arial" w:hAnsi="Arial" w:cs="Arial"/>
                <w:noProof/>
                <w:sz w:val="20"/>
                <w:szCs w:val="20"/>
              </w:rPr>
              <w:t xml:space="preserve"> </w:t>
            </w:r>
            <w:r w:rsidR="00962608">
              <w:rPr>
                <w:rFonts w:ascii="Arial" w:hAnsi="Arial" w:cs="Arial"/>
                <w:noProof/>
                <w:sz w:val="20"/>
                <w:szCs w:val="20"/>
              </w:rPr>
              <w:t>5</w:t>
            </w:r>
            <w:r w:rsidR="006A2BA0">
              <w:rPr>
                <w:rFonts w:ascii="Arial" w:hAnsi="Arial" w:cs="Arial"/>
                <w:noProof/>
                <w:sz w:val="20"/>
                <w:szCs w:val="20"/>
              </w:rPr>
              <w:t xml:space="preserve">  </w:t>
            </w:r>
            <w:r w:rsidRPr="00F41B75">
              <w:rPr>
                <w:rFonts w:ascii="Arial" w:hAnsi="Arial" w:cs="Arial"/>
                <w:noProof/>
                <w:sz w:val="20"/>
                <w:szCs w:val="20"/>
              </w:rPr>
              <w:t>Podiel pacientov dosahujúcich úplnú hematologickú odpoveď v 28. týždni – štúdia</w:t>
            </w:r>
          </w:p>
          <w:p w:rsidR="00F41B75" w:rsidRPr="00F41B75" w:rsidRDefault="00F41B75" w:rsidP="00F41B75">
            <w:pPr>
              <w:spacing w:after="120"/>
              <w:jc w:val="both"/>
              <w:rPr>
                <w:rFonts w:ascii="Arial" w:hAnsi="Arial" w:cs="Arial"/>
                <w:b/>
                <w:noProof/>
                <w:sz w:val="20"/>
                <w:szCs w:val="20"/>
              </w:rPr>
            </w:pPr>
            <w:r w:rsidRPr="00F41B75">
              <w:rPr>
                <w:rFonts w:ascii="Arial" w:hAnsi="Arial" w:cs="Arial"/>
                <w:noProof/>
                <w:sz w:val="20"/>
                <w:szCs w:val="20"/>
              </w:rPr>
              <w:t xml:space="preserve"> </w:t>
            </w:r>
            <w:r w:rsidR="006A2BA0">
              <w:rPr>
                <w:rFonts w:ascii="Arial" w:hAnsi="Arial" w:cs="Arial"/>
                <w:noProof/>
                <w:sz w:val="20"/>
                <w:szCs w:val="20"/>
              </w:rPr>
              <w:t xml:space="preserve">                 </w:t>
            </w:r>
            <w:r w:rsidRPr="00F41B75">
              <w:rPr>
                <w:rFonts w:ascii="Arial" w:hAnsi="Arial" w:cs="Arial"/>
                <w:noProof/>
                <w:sz w:val="20"/>
                <w:szCs w:val="20"/>
              </w:rPr>
              <w:t>RESPONSE-2</w:t>
            </w:r>
          </w:p>
          <w:tbl>
            <w:tblPr>
              <w:tblStyle w:val="MediumGrid31"/>
              <w:tblW w:w="4646" w:type="pct"/>
              <w:tblInd w:w="108" w:type="dxa"/>
              <w:tblLook w:val="06A0" w:firstRow="1" w:lastRow="0" w:firstColumn="1" w:lastColumn="0" w:noHBand="1" w:noVBand="1"/>
            </w:tblPr>
            <w:tblGrid>
              <w:gridCol w:w="5553"/>
              <w:gridCol w:w="1331"/>
              <w:gridCol w:w="1479"/>
            </w:tblGrid>
            <w:tr w:rsidR="00F41B75" w:rsidRPr="00F41B75" w:rsidTr="00F41B75">
              <w:trPr>
                <w:cnfStyle w:val="100000000000" w:firstRow="1" w:lastRow="0" w:firstColumn="0" w:lastColumn="0" w:oddVBand="0" w:evenVBand="0" w:oddHBand="0" w:evenHBand="0" w:firstRowFirstColumn="0" w:firstRowLastColumn="0" w:lastRowFirstColumn="0" w:lastRowLastColumn="0"/>
                <w:trHeight w:val="63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noProof/>
                      <w:color w:val="auto"/>
                      <w:szCs w:val="16"/>
                      <w:lang w:val="sk-SK"/>
                    </w:rPr>
                  </w:pPr>
                  <w:r w:rsidRPr="00F41B75">
                    <w:rPr>
                      <w:rFonts w:ascii="Arial" w:hAnsi="Arial" w:cs="Arial"/>
                      <w:noProof/>
                      <w:color w:val="auto"/>
                      <w:szCs w:val="16"/>
                      <w:lang w:val="sk-SK"/>
                    </w:rPr>
                    <w:t>Parameter</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Cs w:val="16"/>
                      <w:lang w:val="sk-SK"/>
                    </w:rPr>
                  </w:pPr>
                  <w:r w:rsidRPr="00F41B75">
                    <w:rPr>
                      <w:rFonts w:ascii="Arial" w:hAnsi="Arial" w:cs="Arial"/>
                      <w:noProof/>
                      <w:color w:val="auto"/>
                      <w:szCs w:val="16"/>
                      <w:lang w:val="sk-SK"/>
                    </w:rPr>
                    <w:t>JAKAVI</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noProof/>
                      <w:color w:val="auto"/>
                      <w:szCs w:val="16"/>
                      <w:lang w:val="sk-SK"/>
                    </w:rPr>
                  </w:pPr>
                  <w:r w:rsidRPr="00F41B75">
                    <w:rPr>
                      <w:rFonts w:ascii="Arial" w:hAnsi="Arial" w:cs="Arial"/>
                      <w:noProof/>
                      <w:color w:val="auto"/>
                      <w:szCs w:val="16"/>
                      <w:lang w:val="sk-SK"/>
                    </w:rPr>
                    <w:t>n = 74</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Cs w:val="16"/>
                      <w:lang w:val="sk-SK"/>
                    </w:rPr>
                  </w:pPr>
                  <w:r w:rsidRPr="00F41B75">
                    <w:rPr>
                      <w:rFonts w:ascii="Arial" w:hAnsi="Arial" w:cs="Arial"/>
                      <w:bCs w:val="0"/>
                      <w:noProof/>
                      <w:color w:val="auto"/>
                      <w:szCs w:val="16"/>
                      <w:lang w:val="sk-SK"/>
                    </w:rPr>
                    <w:t>BAT</w:t>
                  </w:r>
                </w:p>
                <w:p w:rsidR="00F41B75" w:rsidRPr="00F41B75" w:rsidRDefault="00F41B75" w:rsidP="00F41B75">
                  <w:pPr>
                    <w:pStyle w:val="TableNormal1"/>
                    <w:keepNext/>
                    <w:jc w:val="center"/>
                    <w:cnfStyle w:val="100000000000" w:firstRow="1" w:lastRow="0" w:firstColumn="0" w:lastColumn="0" w:oddVBand="0" w:evenVBand="0" w:oddHBand="0" w:evenHBand="0" w:firstRowFirstColumn="0" w:firstRowLastColumn="0" w:lastRowFirstColumn="0" w:lastRowLastColumn="0"/>
                    <w:rPr>
                      <w:rFonts w:ascii="Arial" w:hAnsi="Arial" w:cs="Arial"/>
                      <w:bCs w:val="0"/>
                      <w:noProof/>
                      <w:color w:val="auto"/>
                      <w:szCs w:val="16"/>
                      <w:lang w:val="sk-SK"/>
                    </w:rPr>
                  </w:pPr>
                  <w:r w:rsidRPr="00F41B75">
                    <w:rPr>
                      <w:rFonts w:ascii="Arial" w:hAnsi="Arial" w:cs="Arial"/>
                      <w:bCs w:val="0"/>
                      <w:noProof/>
                      <w:color w:val="auto"/>
                      <w:szCs w:val="16"/>
                      <w:lang w:val="sk-SK"/>
                    </w:rPr>
                    <w:t>n = 75</w:t>
                  </w:r>
                </w:p>
              </w:tc>
            </w:tr>
            <w:tr w:rsidR="00F41B75" w:rsidRPr="00F41B75" w:rsidTr="00B16436">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Pacienti s úplnou hematologickou odpoveďou v 28. týždni, n (%)</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17 (23,0)</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4 (5,3)</w:t>
                  </w:r>
                </w:p>
              </w:tc>
            </w:tr>
            <w:tr w:rsidR="00F41B75" w:rsidRPr="00F41B75" w:rsidTr="00B16436">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 xml:space="preserve">95% CI </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14,0</w:t>
                  </w:r>
                  <w:r w:rsidR="00B16436">
                    <w:rPr>
                      <w:rFonts w:ascii="Arial" w:hAnsi="Arial" w:cs="Arial"/>
                      <w:noProof/>
                      <w:szCs w:val="18"/>
                      <w:lang w:val="sk-SK"/>
                    </w:rPr>
                    <w:t xml:space="preserve"> </w:t>
                  </w:r>
                  <w:r w:rsidRPr="00F41B75">
                    <w:rPr>
                      <w:rFonts w:ascii="Arial" w:hAnsi="Arial" w:cs="Arial"/>
                      <w:noProof/>
                      <w:szCs w:val="18"/>
                      <w:lang w:val="sk-SK"/>
                    </w:rPr>
                    <w:t>–</w:t>
                  </w:r>
                  <w:r w:rsidR="00B16436">
                    <w:rPr>
                      <w:rFonts w:ascii="Arial" w:hAnsi="Arial" w:cs="Arial"/>
                      <w:noProof/>
                      <w:szCs w:val="18"/>
                      <w:lang w:val="sk-SK"/>
                    </w:rPr>
                    <w:t xml:space="preserve"> </w:t>
                  </w:r>
                  <w:r w:rsidRPr="00F41B75">
                    <w:rPr>
                      <w:rFonts w:ascii="Arial" w:hAnsi="Arial" w:cs="Arial"/>
                      <w:noProof/>
                      <w:szCs w:val="18"/>
                      <w:lang w:val="sk-SK"/>
                    </w:rPr>
                    <w:t>34,2</w:t>
                  </w:r>
                </w:p>
              </w:tc>
              <w:tc>
                <w:tcPr>
                  <w:tcW w:w="884" w:type="pct"/>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1,5</w:t>
                  </w:r>
                  <w:r w:rsidR="00B16436">
                    <w:rPr>
                      <w:rFonts w:ascii="Arial" w:hAnsi="Arial" w:cs="Arial"/>
                      <w:noProof/>
                      <w:szCs w:val="18"/>
                      <w:lang w:val="sk-SK"/>
                    </w:rPr>
                    <w:t xml:space="preserve"> </w:t>
                  </w:r>
                  <w:r w:rsidRPr="00F41B75">
                    <w:rPr>
                      <w:rFonts w:ascii="Arial" w:hAnsi="Arial" w:cs="Arial"/>
                      <w:noProof/>
                      <w:szCs w:val="18"/>
                      <w:lang w:val="sk-SK"/>
                    </w:rPr>
                    <w:t>–</w:t>
                  </w:r>
                  <w:r w:rsidR="00B16436">
                    <w:rPr>
                      <w:rFonts w:ascii="Arial" w:hAnsi="Arial" w:cs="Arial"/>
                      <w:noProof/>
                      <w:szCs w:val="18"/>
                      <w:lang w:val="sk-SK"/>
                    </w:rPr>
                    <w:t xml:space="preserve"> </w:t>
                  </w:r>
                  <w:r w:rsidRPr="00F41B75">
                    <w:rPr>
                      <w:rFonts w:ascii="Arial" w:hAnsi="Arial" w:cs="Arial"/>
                      <w:noProof/>
                      <w:szCs w:val="18"/>
                      <w:lang w:val="sk-SK"/>
                    </w:rPr>
                    <w:t>13,1</w:t>
                  </w:r>
                </w:p>
              </w:tc>
            </w:tr>
            <w:tr w:rsidR="00F41B75" w:rsidRPr="00F41B75" w:rsidTr="00B16436">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p-hodnota</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0,0019</w:t>
                  </w:r>
                </w:p>
              </w:tc>
            </w:tr>
            <w:tr w:rsidR="00F41B75" w:rsidRPr="00F41B75" w:rsidTr="00B16436">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lastRenderedPageBreak/>
                    <w:t>Odds ratio (JAKAVI / BAT) a 95% CI</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5,58 (1,73</w:t>
                  </w:r>
                  <w:r w:rsidR="00B16436">
                    <w:rPr>
                      <w:rFonts w:ascii="Arial" w:hAnsi="Arial" w:cs="Arial"/>
                      <w:noProof/>
                      <w:szCs w:val="18"/>
                      <w:lang w:val="sk-SK"/>
                    </w:rPr>
                    <w:t xml:space="preserve"> </w:t>
                  </w:r>
                  <w:r w:rsidRPr="00F41B75">
                    <w:rPr>
                      <w:rFonts w:ascii="Arial" w:hAnsi="Arial" w:cs="Arial"/>
                      <w:noProof/>
                      <w:szCs w:val="18"/>
                      <w:lang w:val="sk-SK"/>
                    </w:rPr>
                    <w:t>–</w:t>
                  </w:r>
                  <w:r w:rsidR="00B16436">
                    <w:rPr>
                      <w:rFonts w:ascii="Arial" w:hAnsi="Arial" w:cs="Arial"/>
                      <w:noProof/>
                      <w:szCs w:val="18"/>
                      <w:lang w:val="sk-SK"/>
                    </w:rPr>
                    <w:t xml:space="preserve"> </w:t>
                  </w:r>
                  <w:r w:rsidRPr="00F41B75">
                    <w:rPr>
                      <w:rFonts w:ascii="Arial" w:hAnsi="Arial" w:cs="Arial"/>
                      <w:noProof/>
                      <w:szCs w:val="18"/>
                      <w:lang w:val="sk-SK"/>
                    </w:rPr>
                    <w:t xml:space="preserve">17,99) </w:t>
                  </w:r>
                </w:p>
              </w:tc>
            </w:tr>
            <w:tr w:rsidR="00F41B75" w:rsidRPr="00F41B75" w:rsidTr="00B16436">
              <w:trPr>
                <w:trHeight w:val="315"/>
              </w:trPr>
              <w:tc>
                <w:tcPr>
                  <w:cnfStyle w:val="001000000000" w:firstRow="0" w:lastRow="0" w:firstColumn="1" w:lastColumn="0" w:oddVBand="0" w:evenVBand="0" w:oddHBand="0" w:evenHBand="0" w:firstRowFirstColumn="0" w:firstRowLastColumn="0" w:lastRowFirstColumn="0" w:lastRowLastColumn="0"/>
                  <w:tcW w:w="3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1B75" w:rsidRPr="00F41B75" w:rsidRDefault="00F41B75" w:rsidP="00F41B75">
                  <w:pPr>
                    <w:pStyle w:val="TableNormal1"/>
                    <w:keepNext/>
                    <w:rPr>
                      <w:rFonts w:ascii="Arial" w:hAnsi="Arial" w:cs="Arial"/>
                      <w:b w:val="0"/>
                      <w:noProof/>
                      <w:color w:val="auto"/>
                      <w:szCs w:val="16"/>
                      <w:lang w:val="sk-SK"/>
                    </w:rPr>
                  </w:pPr>
                  <w:r w:rsidRPr="00F41B75">
                    <w:rPr>
                      <w:rFonts w:ascii="Arial" w:hAnsi="Arial" w:cs="Arial"/>
                      <w:b w:val="0"/>
                      <w:noProof/>
                      <w:color w:val="auto"/>
                      <w:szCs w:val="16"/>
                      <w:lang w:val="sk-SK"/>
                    </w:rPr>
                    <w:t>Rozdiel v miere odpovede (JAKAVI – BAT) a 95% CI</w:t>
                  </w:r>
                </w:p>
              </w:tc>
              <w:tc>
                <w:tcPr>
                  <w:tcW w:w="168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B75" w:rsidRPr="00F41B75" w:rsidRDefault="00F41B75" w:rsidP="00F41B75">
                  <w:pPr>
                    <w:pStyle w:val="TableNormal1"/>
                    <w:keepNext/>
                    <w:jc w:val="center"/>
                    <w:cnfStyle w:val="000000000000" w:firstRow="0" w:lastRow="0" w:firstColumn="0" w:lastColumn="0" w:oddVBand="0" w:evenVBand="0" w:oddHBand="0" w:evenHBand="0" w:firstRowFirstColumn="0" w:firstRowLastColumn="0" w:lastRowFirstColumn="0" w:lastRowLastColumn="0"/>
                    <w:rPr>
                      <w:rFonts w:ascii="Arial" w:hAnsi="Arial" w:cs="Arial"/>
                      <w:noProof/>
                      <w:szCs w:val="18"/>
                      <w:lang w:val="sk-SK"/>
                    </w:rPr>
                  </w:pPr>
                  <w:r w:rsidRPr="00F41B75">
                    <w:rPr>
                      <w:rFonts w:ascii="Arial" w:hAnsi="Arial" w:cs="Arial"/>
                      <w:noProof/>
                      <w:szCs w:val="18"/>
                      <w:lang w:val="sk-SK"/>
                    </w:rPr>
                    <w:t>17,64 (6,79</w:t>
                  </w:r>
                  <w:r w:rsidR="00B16436">
                    <w:rPr>
                      <w:rFonts w:ascii="Arial" w:hAnsi="Arial" w:cs="Arial"/>
                      <w:noProof/>
                      <w:szCs w:val="18"/>
                      <w:lang w:val="sk-SK"/>
                    </w:rPr>
                    <w:t xml:space="preserve"> </w:t>
                  </w:r>
                  <w:r w:rsidRPr="00F41B75">
                    <w:rPr>
                      <w:rFonts w:ascii="Arial" w:hAnsi="Arial" w:cs="Arial"/>
                      <w:noProof/>
                      <w:szCs w:val="18"/>
                      <w:lang w:val="sk-SK"/>
                    </w:rPr>
                    <w:t>–</w:t>
                  </w:r>
                  <w:r w:rsidR="00B16436">
                    <w:rPr>
                      <w:rFonts w:ascii="Arial" w:hAnsi="Arial" w:cs="Arial"/>
                      <w:noProof/>
                      <w:szCs w:val="18"/>
                      <w:lang w:val="sk-SK"/>
                    </w:rPr>
                    <w:t xml:space="preserve"> </w:t>
                  </w:r>
                  <w:r w:rsidRPr="00F41B75">
                    <w:rPr>
                      <w:rFonts w:ascii="Arial" w:hAnsi="Arial" w:cs="Arial"/>
                      <w:noProof/>
                      <w:szCs w:val="18"/>
                      <w:lang w:val="sk-SK"/>
                    </w:rPr>
                    <w:t>28,49)</w:t>
                  </w:r>
                </w:p>
              </w:tc>
            </w:tr>
          </w:tbl>
          <w:p w:rsidR="00F41B75" w:rsidRPr="00F41B75" w:rsidRDefault="00F41B75" w:rsidP="00F41B75">
            <w:pPr>
              <w:spacing w:after="120"/>
              <w:jc w:val="both"/>
              <w:rPr>
                <w:rFonts w:ascii="Arial" w:hAnsi="Arial" w:cs="Arial"/>
                <w:b/>
                <w:noProof/>
                <w:sz w:val="20"/>
                <w:szCs w:val="20"/>
              </w:rPr>
            </w:pP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80"/>
              <w:jc w:val="both"/>
              <w:rPr>
                <w:rFonts w:ascii="Arial" w:hAnsi="Arial" w:cs="Arial"/>
                <w:noProof/>
                <w:sz w:val="20"/>
                <w:szCs w:val="20"/>
              </w:rPr>
            </w:pPr>
            <w:r w:rsidRPr="00F41B75">
              <w:rPr>
                <w:rFonts w:ascii="Arial" w:hAnsi="Arial" w:cs="Arial"/>
                <w:noProof/>
                <w:sz w:val="20"/>
                <w:szCs w:val="20"/>
              </w:rPr>
              <w:t>Pacienti liečení JAKAVI vyžadujú menej flebotómií v porovnaní s pacientami liečenými BAT</w:t>
            </w:r>
          </w:p>
          <w:p w:rsidR="00F41B75" w:rsidRPr="00F41B75" w:rsidRDefault="00F41B75" w:rsidP="00F41B75">
            <w:pPr>
              <w:jc w:val="both"/>
              <w:rPr>
                <w:rFonts w:ascii="Arial" w:hAnsi="Arial" w:cs="Arial"/>
                <w:noProof/>
                <w:sz w:val="20"/>
                <w:szCs w:val="20"/>
              </w:rPr>
            </w:pPr>
            <w:r w:rsidRPr="00F41B75">
              <w:rPr>
                <w:rFonts w:ascii="Arial" w:hAnsi="Arial" w:cs="Arial"/>
                <w:noProof/>
                <w:sz w:val="20"/>
                <w:szCs w:val="20"/>
              </w:rPr>
              <w:t xml:space="preserve">Od začiatku štúdie po 28. týždeň bolo potrebných menej flebotomických výkonov na udržanie kontroly hematokritu v ramene s JAKAVI (celkom 19) ako v skupine s BAT (celkom 98). </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V skupine liečenej JAKAVI potrebovalo 13 pacientov (17,6%) jednu až dve flebotómie a 1 pacient (1,4%) potreboval tri až štyri flebotómie. Žiadny pacient nemal viac ako štyri flebotómie. V skupine s BAT 28 pacientov (37,3%) potrebovalo jednu až dve flebotómie, 14 pacientov (18,7%) potrebovalo tri až štyri flebotómie a 3 (4,0%) potrebovali viac ako štyri flebotómie.</w:t>
            </w:r>
          </w:p>
          <w:p w:rsidR="00F41B75" w:rsidRPr="00F41B75" w:rsidRDefault="00F41B75" w:rsidP="00F41B75">
            <w:pPr>
              <w:spacing w:after="80"/>
              <w:jc w:val="both"/>
              <w:rPr>
                <w:rFonts w:ascii="Arial" w:hAnsi="Arial" w:cs="Arial"/>
                <w:noProof/>
                <w:sz w:val="20"/>
                <w:szCs w:val="20"/>
              </w:rPr>
            </w:pPr>
            <w:r w:rsidRPr="00F41B75">
              <w:rPr>
                <w:rFonts w:ascii="Arial" w:hAnsi="Arial" w:cs="Arial"/>
                <w:noProof/>
                <w:sz w:val="20"/>
                <w:szCs w:val="20"/>
              </w:rPr>
              <w:br/>
              <w:t>JAKAVI súvisí so zlepšením hladín hematokritu</w:t>
            </w:r>
          </w:p>
          <w:p w:rsidR="00F41B75" w:rsidRPr="00F41B75" w:rsidRDefault="00F41B75" w:rsidP="00F41B75">
            <w:pPr>
              <w:spacing w:after="120"/>
              <w:jc w:val="both"/>
              <w:rPr>
                <w:rFonts w:ascii="Arial" w:hAnsi="Arial" w:cs="Arial"/>
                <w:noProof/>
                <w:sz w:val="20"/>
                <w:szCs w:val="20"/>
              </w:rPr>
            </w:pPr>
            <w:r w:rsidRPr="00F41B75">
              <w:rPr>
                <w:rFonts w:ascii="Arial" w:hAnsi="Arial" w:cs="Arial"/>
                <w:noProof/>
                <w:sz w:val="20"/>
                <w:szCs w:val="20"/>
              </w:rPr>
              <w:t>Už v 4. týždni bol v skupine s JAKAVI pozorovaný pokles priemerných hodnôt hematokritu. V 28. týždni sa priemerná hodnota hematokritu znížila oproti východiskovej hodnote o 2,60 (42,78 pri počiatočnej hodnote na 40,18 v 28. týždni) v skupine s JAKAVI, zatiaľ čo priemerný hematokrit sa zvýšil o 2,15 v ramene BAT (42,72 na začiatku liečby na 44,87 v 28. týždni).</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Zhrnutie</w:t>
            </w: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Ruxolitinib (JAKAVI) predstavuje novú terapeutickú alternatívu v liečbe polycytemia vera. Etiologicky zasahuje do signálnej JAK-STAT dráhy a tým priamo ovplyvňuje hemopoézu.</w:t>
            </w:r>
          </w:p>
          <w:p w:rsidR="00F41B75" w:rsidRPr="00F41B75" w:rsidRDefault="00F41B75" w:rsidP="00F41B75">
            <w:pPr>
              <w:pStyle w:val="ListParagraph"/>
              <w:spacing w:after="120"/>
              <w:jc w:val="bot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Podávanie ruxolitinibu zabezpečuje významne lepšiu kontrolu hodnôt hematokritu a má väčší vplyv na veľkosť splenomegálie v porovnaní s inou najlepšou dostupnou liečbou</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V registračnej štúdii RESPONSE dosiahlo 22,7% pacientov liečených ruxolitinibom kombinovaný kľúčový ukazovateľ (kontrola hodnôt hematokritu na základe indikovania flebotómie a zmenšenie sleziny najmenej o 35% v porovnaní s východiskovou veľkosťou) v porovnaní s 0,9% pacientov liečených BAT (best available therapy)</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Podávanie ruxolitinibu  preukázalo vyššiu účinnosť aj pri hodnotení jednotlivých zložiek kombinovaného ukazovateľa: kontrola hematokritu bola dosiahnutá u 60% pacientov liečených JAKAVI vs 19,6% pacientov liečených BAT; zmenšenie splenomegálie najmenej o 35% východiskového objemu bolo dosiahnuté u 40% pacientov liečených JAKAVI v porovnaní s 0,9% pacientov liečených BAT</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 xml:space="preserve">Úplná hematologická odpoveď (dosiahnutie stanoveného počtu jednotlivých bunkových krvných elementov) bola dokumentovaná u 23,6% pacientov liečených JAKAVI v porovnaní s 8,9% pacientov liečených BAT </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Ruxolitinib si udržal dlhodobú terapeutickú odpoveď: v 80. týždni až u 60% pacientov pretrvávala kontrola hodnôt hematokritu; preavdepodobnosť udržania tejto kontroly v horizonte 80 týždňov od času odpovede bola 89%; zo 40% pacientov, ktorí dosiahli minimálne 35% zmenšenie objemu sleziny v 32. týždni štúdie, ani u jedného pacienta nedosšli v 80. týždni k zániku odpovede</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87,5% pacientov liečených BAT  po 32. týždni prešlo na liečbu JAKAVI. Liečebné výsledky v tejto skupine boli podobné ako u pacientov primárne liečených JAKAVI</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 xml:space="preserve">82,7% pacientov v oboch skupinách (91 zo 110 primárne randomizovaných na liečbu JAKAVI a 81 z 98 primárne liečení BAT a po 32. týždni switch na JAKAVI) pokračovalo </w:t>
            </w:r>
            <w:r w:rsidRPr="00F41B75">
              <w:rPr>
                <w:rFonts w:ascii="Arial" w:hAnsi="Arial" w:cs="Arial"/>
                <w:b/>
                <w:noProof/>
                <w:sz w:val="20"/>
                <w:szCs w:val="20"/>
              </w:rPr>
              <w:lastRenderedPageBreak/>
              <w:t>v liečbe ruxolitinibom</w:t>
            </w:r>
          </w:p>
          <w:p w:rsidR="00F41B75" w:rsidRPr="00F41B75" w:rsidRDefault="00F41B75" w:rsidP="00F41B75">
            <w:pPr>
              <w:pStyle w:val="ListParagraph"/>
              <w:rPr>
                <w:rFonts w:ascii="Arial" w:hAnsi="Arial" w:cs="Arial"/>
                <w:b/>
                <w:noProof/>
                <w:sz w:val="20"/>
                <w:szCs w:val="20"/>
              </w:rPr>
            </w:pPr>
          </w:p>
          <w:p w:rsidR="00F41B75" w:rsidRPr="00F41B75" w:rsidRDefault="00F41B75" w:rsidP="006A2BA0">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Výsledky liečby a ich prínos boli veľmi vysoko hodnotené pacientami (významný vplyv na kvalitu života vo všetkých hodnotených oblastiach)</w:t>
            </w:r>
          </w:p>
          <w:p w:rsidR="00F41B75" w:rsidRPr="00F41B75" w:rsidRDefault="00F41B75" w:rsidP="00F41B75">
            <w:pPr>
              <w:pStyle w:val="ListParagraph"/>
              <w:rPr>
                <w:rFonts w:ascii="Arial" w:hAnsi="Arial" w:cs="Arial"/>
                <w:b/>
                <w:noProof/>
                <w:sz w:val="20"/>
                <w:szCs w:val="20"/>
              </w:rPr>
            </w:pPr>
          </w:p>
          <w:p w:rsidR="00F41B75" w:rsidRPr="00F41B75" w:rsidRDefault="00F41B75" w:rsidP="00681311">
            <w:pPr>
              <w:pStyle w:val="ListParagraph"/>
              <w:numPr>
                <w:ilvl w:val="0"/>
                <w:numId w:val="4"/>
              </w:numPr>
              <w:spacing w:after="120"/>
              <w:jc w:val="both"/>
              <w:rPr>
                <w:rFonts w:ascii="Arial" w:hAnsi="Arial" w:cs="Arial"/>
                <w:b/>
                <w:noProof/>
                <w:sz w:val="20"/>
                <w:szCs w:val="20"/>
              </w:rPr>
            </w:pPr>
            <w:r w:rsidRPr="00F41B75">
              <w:rPr>
                <w:rFonts w:ascii="Arial" w:hAnsi="Arial" w:cs="Arial"/>
                <w:b/>
                <w:noProof/>
                <w:sz w:val="20"/>
                <w:szCs w:val="20"/>
              </w:rPr>
              <w:t xml:space="preserve">Možnosť perorálneho podávania a flexibilnej zmeny dávky zvyšuje </w:t>
            </w:r>
            <w:r w:rsidR="00681311">
              <w:rPr>
                <w:rFonts w:ascii="Arial" w:hAnsi="Arial" w:cs="Arial"/>
                <w:b/>
                <w:noProof/>
                <w:sz w:val="20"/>
                <w:szCs w:val="20"/>
              </w:rPr>
              <w:t>k</w:t>
            </w:r>
            <w:r w:rsidRPr="00F41B75">
              <w:rPr>
                <w:rFonts w:ascii="Arial" w:hAnsi="Arial" w:cs="Arial"/>
                <w:b/>
                <w:noProof/>
                <w:sz w:val="20"/>
                <w:szCs w:val="20"/>
              </w:rPr>
              <w:t>omplianciu pacienta pri dlhodobej liečbe</w:t>
            </w:r>
            <w:r w:rsidR="00681311">
              <w:rPr>
                <w:rFonts w:ascii="Arial" w:hAnsi="Arial" w:cs="Arial"/>
                <w:b/>
                <w:noProof/>
                <w:sz w:val="20"/>
                <w:szCs w:val="20"/>
              </w:rPr>
              <w:t>.</w:t>
            </w:r>
          </w:p>
          <w:p w:rsidR="00F41B75" w:rsidRPr="00F41B75" w:rsidRDefault="00F41B75" w:rsidP="00F41B75">
            <w:pPr>
              <w:spacing w:after="120"/>
              <w:jc w:val="both"/>
              <w:rPr>
                <w:rFonts w:ascii="Arial" w:hAnsi="Arial" w:cs="Arial"/>
                <w:noProof/>
                <w:sz w:val="20"/>
                <w:szCs w:val="20"/>
              </w:rPr>
            </w:pP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Záver</w:t>
            </w: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JAKAVI je inovatívny liek, ovplyvňujúci JAK-STAT signálnu dráhu v hemopoéze krvných elementov. Svojím mechanizmom etiologicky zasahuje v mieste genetickej mutácie a priamo zasahuje do hemopoézy krvných elementov.</w:t>
            </w: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 xml:space="preserve">Ide o prvú terapeutickú alternatívu v liečbe PV, ktorá neovplyvňuje len príznaky ochorenia, ale zasahuje do jeho podstaty. Predstavuje v súčasnosti jedinú efektívnu možnosť pre pacientov, ktorí sú rezistentní alebo netolerujú liečbu hydroxyureou (základným myelosupresívnym liekom).  </w:t>
            </w: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Klinickými štúdiami bola dokázaná účinnosť a bezpečnosť podávania JAKAVI pacientom s diagnózou polycytémia vera, ktorí nemôžu pokračovať v liečbe hydroxyureou z dôvodu rezistencie alebo netolerancie.</w:t>
            </w:r>
          </w:p>
          <w:p w:rsidR="00F41B75" w:rsidRPr="00F41B75" w:rsidRDefault="00F41B75" w:rsidP="00F41B75">
            <w:pPr>
              <w:spacing w:after="120"/>
              <w:jc w:val="both"/>
              <w:rPr>
                <w:rFonts w:ascii="Arial" w:hAnsi="Arial" w:cs="Arial"/>
                <w:b/>
                <w:noProof/>
                <w:sz w:val="20"/>
                <w:szCs w:val="20"/>
              </w:rPr>
            </w:pPr>
            <w:r w:rsidRPr="00F41B75">
              <w:rPr>
                <w:rFonts w:ascii="Arial" w:hAnsi="Arial" w:cs="Arial"/>
                <w:b/>
                <w:noProof/>
                <w:sz w:val="20"/>
                <w:szCs w:val="20"/>
              </w:rPr>
              <w:t xml:space="preserve">Účinnosť a bezpečnosť </w:t>
            </w:r>
            <w:r w:rsidR="006A2BA0">
              <w:rPr>
                <w:rFonts w:ascii="Arial" w:hAnsi="Arial" w:cs="Arial"/>
                <w:b/>
                <w:noProof/>
                <w:sz w:val="20"/>
                <w:szCs w:val="20"/>
              </w:rPr>
              <w:t xml:space="preserve">liečby JAKAVI </w:t>
            </w:r>
            <w:r w:rsidRPr="00F41B75">
              <w:rPr>
                <w:rFonts w:ascii="Arial" w:hAnsi="Arial" w:cs="Arial"/>
                <w:b/>
                <w:noProof/>
                <w:sz w:val="20"/>
                <w:szCs w:val="20"/>
              </w:rPr>
              <w:t>bola potvrdená aj pri dlhodobom podávaní (viac ako 80 týždňov).</w:t>
            </w:r>
          </w:p>
          <w:p w:rsidR="00DB121E" w:rsidRPr="00F41B75" w:rsidRDefault="00DB121E" w:rsidP="002E6A26">
            <w:pPr>
              <w:pStyle w:val="BodyText"/>
              <w:rPr>
                <w:rFonts w:ascii="Arial" w:hAnsi="Arial" w:cs="Arial"/>
                <w:b/>
                <w:bCs/>
                <w:i/>
                <w:noProof/>
                <w:sz w:val="20"/>
              </w:rPr>
            </w:pPr>
          </w:p>
        </w:tc>
      </w:tr>
    </w:tbl>
    <w:p w:rsidR="00DB121E" w:rsidRDefault="00DB121E" w:rsidP="00DB121E"/>
    <w:p w:rsidR="009B2620" w:rsidRDefault="009B2620"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242"/>
        <w:gridCol w:w="7984"/>
      </w:tblGrid>
      <w:tr w:rsidR="00DB121E" w:rsidTr="009B2620">
        <w:trPr>
          <w:trHeight w:val="440"/>
        </w:trPr>
        <w:tc>
          <w:tcPr>
            <w:tcW w:w="1242" w:type="dxa"/>
            <w:tcBorders>
              <w:top w:val="single" w:sz="18" w:space="0" w:color="auto"/>
              <w:bottom w:val="single" w:sz="4" w:space="0" w:color="auto"/>
            </w:tcBorders>
            <w:shd w:val="clear" w:color="auto" w:fill="000000"/>
            <w:vAlign w:val="center"/>
          </w:tcPr>
          <w:p w:rsidR="00DB121E" w:rsidRDefault="0091093E" w:rsidP="007F3289">
            <w:pPr>
              <w:pStyle w:val="BodyText"/>
              <w:rPr>
                <w:rFonts w:ascii="Arial" w:hAnsi="Arial" w:cs="Arial"/>
                <w:b/>
                <w:sz w:val="20"/>
              </w:rPr>
            </w:pPr>
            <w:r>
              <w:rPr>
                <w:rFonts w:ascii="Arial" w:hAnsi="Arial" w:cs="Arial"/>
                <w:b/>
                <w:sz w:val="20"/>
              </w:rPr>
              <w:t xml:space="preserve">Príloha č.2 </w:t>
            </w:r>
          </w:p>
        </w:tc>
        <w:tc>
          <w:tcPr>
            <w:tcW w:w="7984" w:type="dxa"/>
            <w:tcBorders>
              <w:top w:val="single" w:sz="18" w:space="0" w:color="auto"/>
              <w:bottom w:val="single" w:sz="4" w:space="0" w:color="auto"/>
            </w:tcBorders>
            <w:vAlign w:val="center"/>
          </w:tcPr>
          <w:p w:rsidR="00DB121E" w:rsidRPr="00E76A8E" w:rsidRDefault="00DB121E" w:rsidP="00FB4AFC">
            <w:pPr>
              <w:pStyle w:val="BodyText"/>
              <w:rPr>
                <w:rFonts w:ascii="Arial" w:hAnsi="Arial" w:cs="Arial"/>
                <w:sz w:val="20"/>
              </w:rPr>
            </w:pPr>
            <w:r w:rsidRPr="00E76A8E">
              <w:rPr>
                <w:rFonts w:ascii="Arial" w:hAnsi="Arial" w:cs="Arial"/>
                <w:b/>
                <w:sz w:val="20"/>
              </w:rPr>
              <w:t>Prehľad významných porovnávacích klinických skúšok</w:t>
            </w:r>
          </w:p>
        </w:tc>
      </w:tr>
      <w:tr w:rsidR="00DB121E" w:rsidTr="002E6A26">
        <w:trPr>
          <w:trHeight w:val="488"/>
        </w:trPr>
        <w:tc>
          <w:tcPr>
            <w:tcW w:w="9226" w:type="dxa"/>
            <w:gridSpan w:val="2"/>
            <w:tcBorders>
              <w:top w:val="single" w:sz="4" w:space="0" w:color="auto"/>
              <w:bottom w:val="single" w:sz="12" w:space="0" w:color="auto"/>
            </w:tcBorders>
            <w:vAlign w:val="center"/>
          </w:tcPr>
          <w:p w:rsidR="006A2BA0" w:rsidRDefault="006A2BA0" w:rsidP="002E6A26">
            <w:pPr>
              <w:pStyle w:val="BodyText"/>
              <w:rPr>
                <w:rFonts w:ascii="Arial" w:hAnsi="Arial" w:cs="Arial"/>
                <w:b/>
                <w:bCs/>
                <w:sz w:val="20"/>
              </w:rPr>
            </w:pPr>
          </w:p>
          <w:p w:rsidR="00DB121E" w:rsidRDefault="006A2BA0" w:rsidP="002E6A26">
            <w:pPr>
              <w:pStyle w:val="BodyText"/>
              <w:rPr>
                <w:rFonts w:ascii="Arial" w:hAnsi="Arial" w:cs="Arial"/>
                <w:b/>
                <w:bCs/>
                <w:sz w:val="20"/>
              </w:rPr>
            </w:pPr>
            <w:r>
              <w:rPr>
                <w:rFonts w:ascii="Arial" w:hAnsi="Arial" w:cs="Arial"/>
                <w:b/>
                <w:bCs/>
                <w:sz w:val="20"/>
              </w:rPr>
              <w:t>Štúdia RESPONSE</w:t>
            </w:r>
          </w:p>
          <w:p w:rsidR="006A2BA0" w:rsidRDefault="00D75DF9" w:rsidP="002E6A26">
            <w:pPr>
              <w:pStyle w:val="BodyText"/>
              <w:rPr>
                <w:rFonts w:ascii="Arial" w:hAnsi="Arial" w:cs="Arial"/>
                <w:bCs/>
                <w:sz w:val="20"/>
              </w:rPr>
            </w:pPr>
            <w:r>
              <w:rPr>
                <w:rFonts w:ascii="Arial" w:hAnsi="Arial" w:cs="Arial"/>
                <w:bCs/>
                <w:sz w:val="20"/>
              </w:rPr>
              <w:t>Multicentrická, otvorená</w:t>
            </w:r>
            <w:r w:rsidR="003D0025">
              <w:rPr>
                <w:rFonts w:ascii="Arial" w:hAnsi="Arial" w:cs="Arial"/>
                <w:bCs/>
                <w:sz w:val="20"/>
              </w:rPr>
              <w:t>, randomizovaná, aktívne kontrolovaná klinická štúdia fázy III. Sledovala účinnosť a bezpečnosť podávania ruxolitinibu u pacientov s polycytémiou vera, ktorí boli liečení hydroxyureou a stali sa na túto liečbu rezistentní alebo ju netolerovali.</w:t>
            </w:r>
          </w:p>
          <w:p w:rsidR="003D0025" w:rsidRDefault="003D0025" w:rsidP="002E6A26">
            <w:pPr>
              <w:pStyle w:val="BodyText"/>
              <w:rPr>
                <w:rFonts w:ascii="Arial" w:hAnsi="Arial" w:cs="Arial"/>
                <w:bCs/>
                <w:sz w:val="20"/>
              </w:rPr>
            </w:pPr>
            <w:r>
              <w:rPr>
                <w:rFonts w:ascii="Arial" w:hAnsi="Arial" w:cs="Arial"/>
                <w:bCs/>
                <w:sz w:val="20"/>
              </w:rPr>
              <w:t>Do štúdie bolo zaradených 222 dospelých pacientov s diagnózou PV, rezistenciou alebo intoleranciou na predchádzajúcu liečbu hydroxyureou a s palpačne hmatnou splenomegáliou.</w:t>
            </w:r>
          </w:p>
          <w:p w:rsidR="003D0025" w:rsidRDefault="003D0025" w:rsidP="002E6A26">
            <w:pPr>
              <w:pStyle w:val="BodyText"/>
              <w:rPr>
                <w:rFonts w:ascii="Arial" w:hAnsi="Arial" w:cs="Arial"/>
                <w:bCs/>
                <w:sz w:val="20"/>
              </w:rPr>
            </w:pPr>
            <w:r>
              <w:rPr>
                <w:rFonts w:ascii="Arial" w:hAnsi="Arial" w:cs="Arial"/>
                <w:bCs/>
                <w:sz w:val="20"/>
              </w:rPr>
              <w:t>Pacienti boli randomizovaní v pomere 1:1 do liečebného ramena s podávaním JAKAVI a kontrolného ramena s podávaním najlepšej dostupnej liečby (best available therapy, BAT), ktorá zahŕňala hydroxyureu, interferón, pegylovaný interferón, anagrelid, pipobróman, len sledovanie – podľa výberu ošetrujúceho lekára.</w:t>
            </w:r>
          </w:p>
          <w:p w:rsidR="003D0025" w:rsidRDefault="003D0025" w:rsidP="003D0025">
            <w:pPr>
              <w:jc w:val="both"/>
              <w:rPr>
                <w:rFonts w:ascii="Arial" w:hAnsi="Arial" w:cs="Arial"/>
                <w:sz w:val="20"/>
                <w:szCs w:val="20"/>
              </w:rPr>
            </w:pPr>
            <w:r>
              <w:rPr>
                <w:rFonts w:ascii="Arial" w:hAnsi="Arial" w:cs="Arial"/>
                <w:sz w:val="20"/>
                <w:szCs w:val="20"/>
              </w:rPr>
              <w:t xml:space="preserve">Primárnym cieľovým ukazovateľom účinnosti v štúdii RESPONSE bol zložený výsledok: </w:t>
            </w:r>
          </w:p>
          <w:p w:rsidR="003D0025" w:rsidRDefault="003D0025" w:rsidP="003D0025">
            <w:pPr>
              <w:pStyle w:val="ListParagraph"/>
              <w:numPr>
                <w:ilvl w:val="0"/>
                <w:numId w:val="5"/>
              </w:numPr>
              <w:spacing w:after="120"/>
              <w:jc w:val="both"/>
              <w:rPr>
                <w:rFonts w:ascii="Arial" w:hAnsi="Arial" w:cs="Arial"/>
                <w:sz w:val="20"/>
                <w:szCs w:val="20"/>
              </w:rPr>
            </w:pPr>
            <w:r w:rsidRPr="00713F8C">
              <w:rPr>
                <w:rFonts w:ascii="Arial" w:hAnsi="Arial" w:cs="Arial"/>
                <w:sz w:val="20"/>
                <w:szCs w:val="20"/>
              </w:rPr>
              <w:t>podiel pacientov, ktorí v 32. týždni sledovania dosiahli absenciu potreby flebotómie (do 8. týždňa povolená 1 post-randomizačná flebotómia, v období 8. – 32. týždňov žiadna flebotómia)</w:t>
            </w:r>
            <w:r>
              <w:rPr>
                <w:rFonts w:ascii="Arial" w:hAnsi="Arial" w:cs="Arial"/>
                <w:sz w:val="20"/>
                <w:szCs w:val="20"/>
              </w:rPr>
              <w:t>; flebotómia</w:t>
            </w:r>
            <w:r w:rsidRPr="00713F8C">
              <w:rPr>
                <w:rFonts w:ascii="Arial" w:hAnsi="Arial" w:cs="Arial"/>
                <w:sz w:val="20"/>
                <w:szCs w:val="20"/>
              </w:rPr>
              <w:t xml:space="preserve"> </w:t>
            </w:r>
            <w:r>
              <w:rPr>
                <w:rFonts w:ascii="Arial" w:hAnsi="Arial" w:cs="Arial"/>
                <w:sz w:val="20"/>
                <w:szCs w:val="20"/>
              </w:rPr>
              <w:t>s</w:t>
            </w:r>
            <w:r w:rsidRPr="00713F8C">
              <w:rPr>
                <w:rFonts w:ascii="Arial" w:hAnsi="Arial" w:cs="Arial"/>
                <w:sz w:val="20"/>
                <w:szCs w:val="20"/>
              </w:rPr>
              <w:t>a</w:t>
            </w:r>
            <w:r>
              <w:rPr>
                <w:rFonts w:ascii="Arial" w:hAnsi="Arial" w:cs="Arial"/>
                <w:sz w:val="20"/>
                <w:szCs w:val="20"/>
              </w:rPr>
              <w:t xml:space="preserve"> indikuje na základe hodnoty hematokritu [&gt;45%, t.j. o </w:t>
            </w:r>
            <w:r w:rsidRPr="00713F8C">
              <w:rPr>
                <w:rFonts w:ascii="Arial" w:hAnsi="Arial" w:cs="Arial"/>
                <w:sz w:val="20"/>
                <w:szCs w:val="20"/>
              </w:rPr>
              <w:t>≥3</w:t>
            </w:r>
            <w:r>
              <w:rPr>
                <w:rFonts w:ascii="Arial" w:hAnsi="Arial" w:cs="Arial"/>
                <w:sz w:val="20"/>
                <w:szCs w:val="20"/>
              </w:rPr>
              <w:t xml:space="preserve"> percentuálne body viac ako východisková hodnota alebo &gt;48%, vždy podľa nižšej dosiahnutej hodnoty) </w:t>
            </w:r>
            <w:r w:rsidRPr="00713F8C">
              <w:rPr>
                <w:rFonts w:ascii="Arial" w:hAnsi="Arial" w:cs="Arial"/>
                <w:sz w:val="20"/>
                <w:szCs w:val="20"/>
              </w:rPr>
              <w:t> </w:t>
            </w:r>
            <w:r>
              <w:rPr>
                <w:rFonts w:ascii="Arial" w:hAnsi="Arial" w:cs="Arial"/>
                <w:sz w:val="20"/>
                <w:szCs w:val="20"/>
              </w:rPr>
              <w:t>a</w:t>
            </w:r>
          </w:p>
          <w:p w:rsidR="003D0025" w:rsidRDefault="003D0025" w:rsidP="003D0025">
            <w:pPr>
              <w:pStyle w:val="ListParagraph"/>
              <w:numPr>
                <w:ilvl w:val="0"/>
                <w:numId w:val="5"/>
              </w:numPr>
              <w:spacing w:after="120"/>
              <w:jc w:val="both"/>
              <w:rPr>
                <w:rFonts w:ascii="Arial" w:hAnsi="Arial" w:cs="Arial"/>
                <w:sz w:val="20"/>
                <w:szCs w:val="20"/>
              </w:rPr>
            </w:pPr>
            <w:r w:rsidRPr="00713F8C">
              <w:rPr>
                <w:rFonts w:ascii="Arial" w:hAnsi="Arial" w:cs="Arial"/>
                <w:sz w:val="20"/>
                <w:szCs w:val="20"/>
              </w:rPr>
              <w:t>zmenšenie objemu sleziny</w:t>
            </w:r>
            <w:r>
              <w:rPr>
                <w:rFonts w:ascii="Arial" w:hAnsi="Arial" w:cs="Arial"/>
                <w:sz w:val="20"/>
                <w:szCs w:val="20"/>
              </w:rPr>
              <w:t xml:space="preserve"> o </w:t>
            </w:r>
            <w:r w:rsidRPr="007C7117">
              <w:rPr>
                <w:rFonts w:ascii="Arial" w:hAnsi="Arial" w:cs="Arial"/>
                <w:sz w:val="20"/>
                <w:szCs w:val="20"/>
              </w:rPr>
              <w:t>≥3</w:t>
            </w:r>
            <w:r>
              <w:rPr>
                <w:rFonts w:ascii="Arial" w:hAnsi="Arial" w:cs="Arial"/>
                <w:sz w:val="20"/>
                <w:szCs w:val="20"/>
              </w:rPr>
              <w:t>5</w:t>
            </w:r>
            <w:r w:rsidRPr="007C7117">
              <w:rPr>
                <w:rFonts w:ascii="Arial" w:hAnsi="Arial" w:cs="Arial"/>
                <w:sz w:val="20"/>
                <w:szCs w:val="20"/>
              </w:rPr>
              <w:t>%</w:t>
            </w:r>
            <w:r w:rsidRPr="00713F8C">
              <w:rPr>
                <w:rFonts w:ascii="Arial" w:hAnsi="Arial" w:cs="Arial"/>
                <w:sz w:val="20"/>
                <w:szCs w:val="20"/>
              </w:rPr>
              <w:t xml:space="preserve"> (hodnotené MRI vyšetrením)</w:t>
            </w:r>
            <w:r>
              <w:rPr>
                <w:rFonts w:ascii="Arial" w:hAnsi="Arial" w:cs="Arial"/>
                <w:sz w:val="20"/>
                <w:szCs w:val="20"/>
              </w:rPr>
              <w:t xml:space="preserve"> v porovnaní s veľkosťou pri zaradení do štúdie</w:t>
            </w:r>
            <w:r w:rsidRPr="00713F8C">
              <w:rPr>
                <w:rFonts w:ascii="Arial" w:hAnsi="Arial" w:cs="Arial"/>
                <w:sz w:val="20"/>
                <w:szCs w:val="20"/>
              </w:rPr>
              <w:t>.</w:t>
            </w:r>
          </w:p>
          <w:p w:rsidR="003D0025" w:rsidRDefault="003D0025" w:rsidP="003D0025">
            <w:pPr>
              <w:spacing w:after="120"/>
              <w:jc w:val="both"/>
              <w:rPr>
                <w:rFonts w:ascii="Arial" w:hAnsi="Arial" w:cs="Arial"/>
                <w:sz w:val="20"/>
                <w:szCs w:val="20"/>
              </w:rPr>
            </w:pPr>
            <w:r>
              <w:rPr>
                <w:rFonts w:ascii="Arial" w:hAnsi="Arial" w:cs="Arial"/>
                <w:sz w:val="20"/>
                <w:szCs w:val="20"/>
              </w:rPr>
              <w:t xml:space="preserve">Sekundárnymi kľúčovými ukazovateľmi bol podiel pacientov, </w:t>
            </w:r>
            <w:r w:rsidRPr="007C7117">
              <w:rPr>
                <w:rFonts w:ascii="Arial" w:hAnsi="Arial" w:cs="Arial"/>
                <w:sz w:val="20"/>
                <w:szCs w:val="20"/>
              </w:rPr>
              <w:t>ktorí dosiahli primárny cieľový ukazovateľ a v 48. týždni ostali bez progresie, ako aj percento pacientov, ktorí dosiahli úplnú hematologickú remisiu v 32. týždni.</w:t>
            </w:r>
          </w:p>
          <w:p w:rsidR="003D0025" w:rsidRDefault="00B3311E" w:rsidP="002E6A26">
            <w:pPr>
              <w:pStyle w:val="BodyText"/>
              <w:rPr>
                <w:rFonts w:ascii="Arial" w:hAnsi="Arial" w:cs="Arial"/>
                <w:bCs/>
                <w:sz w:val="20"/>
              </w:rPr>
            </w:pPr>
            <w:r>
              <w:rPr>
                <w:rFonts w:ascii="Arial" w:hAnsi="Arial" w:cs="Arial"/>
                <w:bCs/>
                <w:sz w:val="20"/>
              </w:rPr>
              <w:t>Výsledky:</w:t>
            </w:r>
          </w:p>
          <w:p w:rsidR="00B3311E" w:rsidRDefault="00B3311E" w:rsidP="002E6A26">
            <w:pPr>
              <w:pStyle w:val="BodyText"/>
              <w:rPr>
                <w:rFonts w:ascii="Arial" w:hAnsi="Arial" w:cs="Arial"/>
                <w:sz w:val="20"/>
                <w:szCs w:val="20"/>
              </w:rPr>
            </w:pPr>
            <w:r>
              <w:rPr>
                <w:rFonts w:ascii="Arial" w:hAnsi="Arial" w:cs="Arial"/>
                <w:sz w:val="20"/>
                <w:szCs w:val="20"/>
              </w:rPr>
              <w:t xml:space="preserve">V 32. týždni dosiahlo primárnu kombinovanú odpoveď 22,7% pacientov liečených ruxolitinibom v porovnaní s 0,9% pacientov liečených BAT; pomer šancí (odds ratio, OR) 32,67; 95% CI 5,04 – 1337; p &lt; 0,0001. </w:t>
            </w:r>
            <w:r w:rsidRPr="001D026C">
              <w:rPr>
                <w:rFonts w:ascii="Arial" w:hAnsi="Arial" w:cs="Arial"/>
                <w:sz w:val="20"/>
                <w:szCs w:val="20"/>
              </w:rPr>
              <w:t>Zo všetkých pacientov liečených liekom JAKAVI sa u 77,3% vyskytlo</w:t>
            </w:r>
            <w:r>
              <w:rPr>
                <w:rFonts w:ascii="Arial" w:hAnsi="Arial" w:cs="Arial"/>
                <w:sz w:val="20"/>
                <w:szCs w:val="20"/>
              </w:rPr>
              <w:t xml:space="preserve"> splnenie</w:t>
            </w:r>
            <w:r w:rsidRPr="001D026C">
              <w:rPr>
                <w:rFonts w:ascii="Arial" w:hAnsi="Arial" w:cs="Arial"/>
                <w:sz w:val="20"/>
                <w:szCs w:val="20"/>
              </w:rPr>
              <w:t xml:space="preserve"> najmenej jedn</w:t>
            </w:r>
            <w:r>
              <w:rPr>
                <w:rFonts w:ascii="Arial" w:hAnsi="Arial" w:cs="Arial"/>
                <w:sz w:val="20"/>
                <w:szCs w:val="20"/>
              </w:rPr>
              <w:t xml:space="preserve">ej </w:t>
            </w:r>
            <w:r w:rsidRPr="001D026C">
              <w:rPr>
                <w:rFonts w:ascii="Arial" w:hAnsi="Arial" w:cs="Arial"/>
                <w:sz w:val="20"/>
                <w:szCs w:val="20"/>
              </w:rPr>
              <w:t>zložk</w:t>
            </w:r>
            <w:r>
              <w:rPr>
                <w:rFonts w:ascii="Arial" w:hAnsi="Arial" w:cs="Arial"/>
                <w:sz w:val="20"/>
                <w:szCs w:val="20"/>
              </w:rPr>
              <w:t>y</w:t>
            </w:r>
            <w:r w:rsidRPr="001D026C">
              <w:rPr>
                <w:rFonts w:ascii="Arial" w:hAnsi="Arial" w:cs="Arial"/>
                <w:sz w:val="20"/>
                <w:szCs w:val="20"/>
              </w:rPr>
              <w:t xml:space="preserve"> primárneho koncového bodu, pričom 60%</w:t>
            </w:r>
            <w:r>
              <w:rPr>
                <w:rFonts w:ascii="Arial" w:hAnsi="Arial" w:cs="Arial"/>
                <w:sz w:val="20"/>
                <w:szCs w:val="20"/>
              </w:rPr>
              <w:t xml:space="preserve"> pacientov</w:t>
            </w:r>
            <w:r w:rsidRPr="001D026C">
              <w:rPr>
                <w:rFonts w:ascii="Arial" w:hAnsi="Arial" w:cs="Arial"/>
                <w:sz w:val="20"/>
                <w:szCs w:val="20"/>
              </w:rPr>
              <w:t xml:space="preserve"> (95% CI 50,2</w:t>
            </w:r>
            <w:r>
              <w:rPr>
                <w:rFonts w:ascii="Arial" w:hAnsi="Arial" w:cs="Arial"/>
                <w:sz w:val="20"/>
                <w:szCs w:val="20"/>
              </w:rPr>
              <w:t xml:space="preserve"> – </w:t>
            </w:r>
            <w:r w:rsidRPr="001D026C">
              <w:rPr>
                <w:rFonts w:ascii="Arial" w:hAnsi="Arial" w:cs="Arial"/>
                <w:sz w:val="20"/>
                <w:szCs w:val="20"/>
              </w:rPr>
              <w:t>69,2) preukázalo kontrolu hematokritu</w:t>
            </w:r>
            <w:r>
              <w:rPr>
                <w:rFonts w:ascii="Arial" w:hAnsi="Arial" w:cs="Arial"/>
                <w:sz w:val="20"/>
                <w:szCs w:val="20"/>
              </w:rPr>
              <w:t xml:space="preserve"> v porovnaní s 19,6% (95% CI 12,7 – 28,2) pacientov v skupine </w:t>
            </w:r>
            <w:r>
              <w:rPr>
                <w:rFonts w:ascii="Arial" w:hAnsi="Arial" w:cs="Arial"/>
                <w:sz w:val="20"/>
                <w:szCs w:val="20"/>
              </w:rPr>
              <w:lastRenderedPageBreak/>
              <w:t>liečenej BAT</w:t>
            </w:r>
            <w:r w:rsidRPr="001D026C">
              <w:rPr>
                <w:rFonts w:ascii="Arial" w:hAnsi="Arial" w:cs="Arial"/>
                <w:sz w:val="20"/>
                <w:szCs w:val="20"/>
              </w:rPr>
              <w:t xml:space="preserve"> a </w:t>
            </w:r>
            <w:r>
              <w:rPr>
                <w:rFonts w:ascii="Arial" w:hAnsi="Arial" w:cs="Arial"/>
                <w:sz w:val="20"/>
                <w:szCs w:val="20"/>
              </w:rPr>
              <w:t>40</w:t>
            </w:r>
            <w:r w:rsidRPr="001D026C">
              <w:rPr>
                <w:rFonts w:ascii="Arial" w:hAnsi="Arial" w:cs="Arial"/>
                <w:sz w:val="20"/>
                <w:szCs w:val="20"/>
              </w:rPr>
              <w:t>%</w:t>
            </w:r>
            <w:r>
              <w:rPr>
                <w:rFonts w:ascii="Arial" w:hAnsi="Arial" w:cs="Arial"/>
                <w:sz w:val="20"/>
                <w:szCs w:val="20"/>
              </w:rPr>
              <w:t xml:space="preserve"> pacientov liečených JAKAVI</w:t>
            </w:r>
            <w:r w:rsidRPr="001D026C">
              <w:rPr>
                <w:rFonts w:ascii="Arial" w:hAnsi="Arial" w:cs="Arial"/>
                <w:sz w:val="20"/>
                <w:szCs w:val="20"/>
              </w:rPr>
              <w:t xml:space="preserve"> (95% CI </w:t>
            </w:r>
            <w:r>
              <w:rPr>
                <w:rFonts w:ascii="Arial" w:hAnsi="Arial" w:cs="Arial"/>
                <w:sz w:val="20"/>
                <w:szCs w:val="20"/>
              </w:rPr>
              <w:t>30,8 – 49,8</w:t>
            </w:r>
            <w:r w:rsidRPr="001D026C">
              <w:rPr>
                <w:rFonts w:ascii="Arial" w:hAnsi="Arial" w:cs="Arial"/>
                <w:sz w:val="20"/>
                <w:szCs w:val="20"/>
              </w:rPr>
              <w:t>)</w:t>
            </w:r>
            <w:r>
              <w:rPr>
                <w:rFonts w:ascii="Arial" w:hAnsi="Arial" w:cs="Arial"/>
                <w:sz w:val="20"/>
                <w:szCs w:val="20"/>
              </w:rPr>
              <w:t xml:space="preserve"> </w:t>
            </w:r>
            <w:r w:rsidRPr="001D026C">
              <w:rPr>
                <w:rFonts w:ascii="Arial" w:hAnsi="Arial" w:cs="Arial"/>
                <w:sz w:val="20"/>
                <w:szCs w:val="20"/>
              </w:rPr>
              <w:t xml:space="preserve">dosiahlo </w:t>
            </w:r>
            <w:r>
              <w:rPr>
                <w:rFonts w:ascii="Arial" w:hAnsi="Arial" w:cs="Arial"/>
                <w:sz w:val="20"/>
                <w:szCs w:val="20"/>
              </w:rPr>
              <w:t>zmenšenie</w:t>
            </w:r>
            <w:r w:rsidRPr="001D026C">
              <w:rPr>
                <w:rFonts w:ascii="Arial" w:hAnsi="Arial" w:cs="Arial"/>
                <w:sz w:val="20"/>
                <w:szCs w:val="20"/>
              </w:rPr>
              <w:t xml:space="preserve"> splenomeg</w:t>
            </w:r>
            <w:r>
              <w:rPr>
                <w:rFonts w:ascii="Arial" w:hAnsi="Arial" w:cs="Arial"/>
                <w:sz w:val="20"/>
                <w:szCs w:val="20"/>
              </w:rPr>
              <w:t>álie</w:t>
            </w:r>
            <w:r w:rsidRPr="001D026C">
              <w:rPr>
                <w:rFonts w:ascii="Arial" w:hAnsi="Arial" w:cs="Arial"/>
                <w:sz w:val="20"/>
                <w:szCs w:val="20"/>
              </w:rPr>
              <w:t xml:space="preserve"> najmenej </w:t>
            </w:r>
            <w:r>
              <w:rPr>
                <w:rFonts w:ascii="Arial" w:hAnsi="Arial" w:cs="Arial"/>
                <w:sz w:val="20"/>
                <w:szCs w:val="20"/>
              </w:rPr>
              <w:t xml:space="preserve">o </w:t>
            </w:r>
            <w:r w:rsidRPr="001D026C">
              <w:rPr>
                <w:rFonts w:ascii="Arial" w:hAnsi="Arial" w:cs="Arial"/>
                <w:sz w:val="20"/>
                <w:szCs w:val="20"/>
              </w:rPr>
              <w:t>35%</w:t>
            </w:r>
            <w:r>
              <w:rPr>
                <w:rFonts w:ascii="Arial" w:hAnsi="Arial" w:cs="Arial"/>
                <w:sz w:val="20"/>
                <w:szCs w:val="20"/>
              </w:rPr>
              <w:t xml:space="preserve"> v porovnaní s 0,9% pacientov liečených BAT (95% CI 0,0 – 4,9), ktorí dosiahli predpísanú zmenu objemu sleziny.</w:t>
            </w:r>
          </w:p>
          <w:p w:rsidR="00B3311E" w:rsidRDefault="00B3311E" w:rsidP="00B3311E">
            <w:pPr>
              <w:jc w:val="both"/>
              <w:rPr>
                <w:rFonts w:ascii="Arial" w:hAnsi="Arial" w:cs="Arial"/>
                <w:sz w:val="20"/>
                <w:szCs w:val="20"/>
              </w:rPr>
            </w:pPr>
            <w:r>
              <w:rPr>
                <w:rFonts w:ascii="Arial" w:hAnsi="Arial" w:cs="Arial"/>
                <w:sz w:val="20"/>
                <w:szCs w:val="20"/>
              </w:rPr>
              <w:t xml:space="preserve">Pri analýze údajov bolo dokladované, že u 73,6% pacientov randomizovaných na podávanie ruxolitinibu došlo k zníženiu objemu sleziny, kým v skupine liečenej BAT bolo zmenšenie sleziny pozorované u 33,0% pacientov. </w:t>
            </w:r>
            <w:r w:rsidRPr="00B56982">
              <w:rPr>
                <w:rFonts w:ascii="Arial" w:hAnsi="Arial" w:cs="Arial"/>
                <w:sz w:val="20"/>
                <w:szCs w:val="20"/>
              </w:rPr>
              <w:t>V 32. týždni bola pozorovaná 2</w:t>
            </w:r>
            <w:r>
              <w:rPr>
                <w:rFonts w:ascii="Arial" w:hAnsi="Arial" w:cs="Arial"/>
                <w:sz w:val="20"/>
                <w:szCs w:val="20"/>
              </w:rPr>
              <w:t>8</w:t>
            </w:r>
            <w:r w:rsidRPr="00B56982">
              <w:rPr>
                <w:rFonts w:ascii="Arial" w:hAnsi="Arial" w:cs="Arial"/>
                <w:sz w:val="20"/>
                <w:szCs w:val="20"/>
              </w:rPr>
              <w:t xml:space="preserve">% redukcia priemerného objemu sleziny od východiskovej hodnoty v skupine s JAKAVI, zatiaľ čo u pacientov liečených BAT sa preukázalo priemerné zvýšenie objemu sleziny o 4,50%. </w:t>
            </w:r>
          </w:p>
          <w:p w:rsidR="00B3311E" w:rsidRDefault="00B3311E" w:rsidP="00B3311E">
            <w:pPr>
              <w:jc w:val="both"/>
              <w:rPr>
                <w:rFonts w:ascii="Arial" w:hAnsi="Arial" w:cs="Arial"/>
                <w:sz w:val="20"/>
                <w:szCs w:val="20"/>
              </w:rPr>
            </w:pPr>
            <w:r>
              <w:rPr>
                <w:rFonts w:ascii="Arial" w:hAnsi="Arial" w:cs="Arial"/>
                <w:sz w:val="20"/>
                <w:szCs w:val="20"/>
              </w:rPr>
              <w:t>Medzi 8. a 32. týždňom bol počet indikovaných flebotómií v skupine pacientov liečených ruxolitinibom (JAKAVI) podstatne nižší v porovnaní s počtom pacientov liečených BAT. Celkovo 19,8% pacientov liečených JAKAVI podstúpilo aspoň jednu flebotómiu, kým v skupine liečenej BAT tento výkon podstúpilo 62,4% pacientov; 3 a viac flebotómii podstúpilo 2,8% pacientov zo skupiny liečenej JAKAVI v porovnaní s 20,2% pacientov liečených BAT.</w:t>
            </w:r>
          </w:p>
          <w:p w:rsidR="00B3311E" w:rsidRDefault="00B3311E" w:rsidP="00B3311E">
            <w:pPr>
              <w:jc w:val="both"/>
              <w:rPr>
                <w:rFonts w:ascii="Arial" w:hAnsi="Arial" w:cs="Arial"/>
                <w:sz w:val="20"/>
                <w:szCs w:val="20"/>
              </w:rPr>
            </w:pPr>
            <w:r w:rsidRPr="000926B6">
              <w:rPr>
                <w:rFonts w:ascii="Arial" w:hAnsi="Arial" w:cs="Arial"/>
                <w:sz w:val="20"/>
                <w:szCs w:val="20"/>
              </w:rPr>
              <w:t xml:space="preserve">Znížená potreba flebotómie v ramene JAKAVI bola udržiavaná </w:t>
            </w:r>
            <w:r>
              <w:rPr>
                <w:rFonts w:ascii="Arial" w:hAnsi="Arial" w:cs="Arial"/>
                <w:sz w:val="20"/>
                <w:szCs w:val="20"/>
              </w:rPr>
              <w:t xml:space="preserve">až do </w:t>
            </w:r>
            <w:r w:rsidRPr="000926B6">
              <w:rPr>
                <w:rFonts w:ascii="Arial" w:hAnsi="Arial" w:cs="Arial"/>
                <w:sz w:val="20"/>
                <w:szCs w:val="20"/>
              </w:rPr>
              <w:t>80. týžd</w:t>
            </w:r>
            <w:r>
              <w:rPr>
                <w:rFonts w:ascii="Arial" w:hAnsi="Arial" w:cs="Arial"/>
                <w:sz w:val="20"/>
                <w:szCs w:val="20"/>
              </w:rPr>
              <w:t>ňa</w:t>
            </w:r>
            <w:r w:rsidRPr="000926B6">
              <w:rPr>
                <w:rFonts w:ascii="Arial" w:hAnsi="Arial" w:cs="Arial"/>
                <w:sz w:val="20"/>
                <w:szCs w:val="20"/>
              </w:rPr>
              <w:t>. Z pacientov, ktorí zostali na JAKAVI v 32. týždni (n = 98), 89,8% nemalo flebotómiu medzi 32</w:t>
            </w:r>
            <w:r>
              <w:rPr>
                <w:rFonts w:ascii="Arial" w:hAnsi="Arial" w:cs="Arial"/>
                <w:sz w:val="20"/>
                <w:szCs w:val="20"/>
              </w:rPr>
              <w:t>.</w:t>
            </w:r>
            <w:r w:rsidRPr="000926B6">
              <w:rPr>
                <w:rFonts w:ascii="Arial" w:hAnsi="Arial" w:cs="Arial"/>
                <w:sz w:val="20"/>
                <w:szCs w:val="20"/>
              </w:rPr>
              <w:t xml:space="preserve"> a</w:t>
            </w:r>
            <w:r>
              <w:rPr>
                <w:rFonts w:ascii="Arial" w:hAnsi="Arial" w:cs="Arial"/>
                <w:sz w:val="20"/>
                <w:szCs w:val="20"/>
              </w:rPr>
              <w:t> </w:t>
            </w:r>
            <w:r w:rsidRPr="000926B6">
              <w:rPr>
                <w:rFonts w:ascii="Arial" w:hAnsi="Arial" w:cs="Arial"/>
                <w:sz w:val="20"/>
                <w:szCs w:val="20"/>
              </w:rPr>
              <w:t>80</w:t>
            </w:r>
            <w:r>
              <w:rPr>
                <w:rFonts w:ascii="Arial" w:hAnsi="Arial" w:cs="Arial"/>
                <w:sz w:val="20"/>
                <w:szCs w:val="20"/>
              </w:rPr>
              <w:t>.</w:t>
            </w:r>
            <w:r w:rsidRPr="000926B6">
              <w:rPr>
                <w:rFonts w:ascii="Arial" w:hAnsi="Arial" w:cs="Arial"/>
                <w:sz w:val="20"/>
                <w:szCs w:val="20"/>
              </w:rPr>
              <w:t xml:space="preserve"> týždň</w:t>
            </w:r>
            <w:r>
              <w:rPr>
                <w:rFonts w:ascii="Arial" w:hAnsi="Arial" w:cs="Arial"/>
                <w:sz w:val="20"/>
                <w:szCs w:val="20"/>
              </w:rPr>
              <w:t>om</w:t>
            </w:r>
            <w:r w:rsidRPr="000926B6">
              <w:rPr>
                <w:rFonts w:ascii="Arial" w:hAnsi="Arial" w:cs="Arial"/>
                <w:sz w:val="20"/>
                <w:szCs w:val="20"/>
              </w:rPr>
              <w:t xml:space="preserve">, 7,1% </w:t>
            </w:r>
            <w:r>
              <w:rPr>
                <w:rFonts w:ascii="Arial" w:hAnsi="Arial" w:cs="Arial"/>
                <w:sz w:val="20"/>
                <w:szCs w:val="20"/>
              </w:rPr>
              <w:t xml:space="preserve">pacientov </w:t>
            </w:r>
            <w:r w:rsidRPr="000926B6">
              <w:rPr>
                <w:rFonts w:ascii="Arial" w:hAnsi="Arial" w:cs="Arial"/>
                <w:sz w:val="20"/>
                <w:szCs w:val="20"/>
              </w:rPr>
              <w:t>malo jednu flebotómiu a 3,1 % malo 3 alebo viac flebot</w:t>
            </w:r>
            <w:r>
              <w:rPr>
                <w:rFonts w:ascii="Arial" w:hAnsi="Arial" w:cs="Arial"/>
                <w:sz w:val="20"/>
                <w:szCs w:val="20"/>
              </w:rPr>
              <w:t>ó</w:t>
            </w:r>
            <w:r w:rsidRPr="000926B6">
              <w:rPr>
                <w:rFonts w:ascii="Arial" w:hAnsi="Arial" w:cs="Arial"/>
                <w:sz w:val="20"/>
                <w:szCs w:val="20"/>
              </w:rPr>
              <w:t>mií</w:t>
            </w:r>
            <w:r>
              <w:rPr>
                <w:rFonts w:ascii="Arial" w:hAnsi="Arial" w:cs="Arial"/>
                <w:sz w:val="20"/>
                <w:szCs w:val="20"/>
              </w:rPr>
              <w:t>.</w:t>
            </w:r>
          </w:p>
          <w:p w:rsidR="00B3311E" w:rsidRDefault="00B3311E" w:rsidP="00B3311E">
            <w:pPr>
              <w:jc w:val="both"/>
              <w:rPr>
                <w:rFonts w:ascii="Arial" w:hAnsi="Arial" w:cs="Arial"/>
                <w:sz w:val="20"/>
                <w:szCs w:val="20"/>
              </w:rPr>
            </w:pPr>
            <w:r>
              <w:rPr>
                <w:rFonts w:ascii="Arial" w:hAnsi="Arial" w:cs="Arial"/>
                <w:sz w:val="20"/>
                <w:szCs w:val="20"/>
              </w:rPr>
              <w:t xml:space="preserve">Úplná hematologická odpoveď (kompletná remisia) v štúdii bola definovaná ako kontrola  hematokritu – jeho hodnota menej ako 45% bez flebotómie, počet krvných doštičiek </w:t>
            </w:r>
            <w:r w:rsidRPr="00ED1ED7">
              <w:rPr>
                <w:rFonts w:ascii="Arial" w:hAnsi="Arial" w:cs="Arial"/>
                <w:sz w:val="20"/>
                <w:szCs w:val="20"/>
              </w:rPr>
              <w:t xml:space="preserve">≤ 400 </w:t>
            </w:r>
            <w:r w:rsidRPr="00ED1ED7">
              <w:rPr>
                <w:rFonts w:ascii="Cambria Math" w:hAnsi="Cambria Math" w:cs="Cambria Math"/>
                <w:sz w:val="20"/>
                <w:szCs w:val="20"/>
              </w:rPr>
              <w:t>⨯</w:t>
            </w:r>
            <w:r w:rsidRPr="00ED1ED7">
              <w:rPr>
                <w:rFonts w:ascii="Arial" w:hAnsi="Arial" w:cs="Arial"/>
                <w:sz w:val="20"/>
                <w:szCs w:val="20"/>
              </w:rPr>
              <w:t xml:space="preserve"> 10</w:t>
            </w:r>
            <w:r w:rsidRPr="00ED1ED7">
              <w:rPr>
                <w:rFonts w:ascii="Arial" w:hAnsi="Arial" w:cs="Arial"/>
                <w:sz w:val="20"/>
                <w:szCs w:val="20"/>
                <w:vertAlign w:val="superscript"/>
              </w:rPr>
              <w:t>9</w:t>
            </w:r>
            <w:r w:rsidRPr="00ED1ED7">
              <w:rPr>
                <w:rFonts w:ascii="Arial" w:hAnsi="Arial" w:cs="Arial"/>
                <w:sz w:val="20"/>
                <w:szCs w:val="20"/>
              </w:rPr>
              <w:t>/</w:t>
            </w:r>
            <w:r>
              <w:rPr>
                <w:rFonts w:ascii="Arial" w:hAnsi="Arial" w:cs="Arial"/>
                <w:sz w:val="20"/>
                <w:szCs w:val="20"/>
              </w:rPr>
              <w:t xml:space="preserve">l, počet leukocytov </w:t>
            </w:r>
            <w:r w:rsidRPr="00ED1ED7">
              <w:rPr>
                <w:rFonts w:ascii="Arial" w:hAnsi="Arial" w:cs="Arial"/>
                <w:sz w:val="20"/>
                <w:szCs w:val="20"/>
              </w:rPr>
              <w:t xml:space="preserve">≤ </w:t>
            </w:r>
            <w:r>
              <w:rPr>
                <w:rFonts w:ascii="Arial" w:hAnsi="Arial" w:cs="Arial"/>
                <w:sz w:val="20"/>
                <w:szCs w:val="20"/>
              </w:rPr>
              <w:t>1</w:t>
            </w:r>
            <w:r w:rsidRPr="00ED1ED7">
              <w:rPr>
                <w:rFonts w:ascii="Arial" w:hAnsi="Arial" w:cs="Arial"/>
                <w:sz w:val="20"/>
                <w:szCs w:val="20"/>
              </w:rPr>
              <w:t xml:space="preserve">0 </w:t>
            </w:r>
            <w:r w:rsidRPr="00ED1ED7">
              <w:rPr>
                <w:rFonts w:ascii="Cambria Math" w:hAnsi="Cambria Math" w:cs="Cambria Math"/>
                <w:sz w:val="20"/>
                <w:szCs w:val="20"/>
              </w:rPr>
              <w:t>⨯</w:t>
            </w:r>
            <w:r w:rsidRPr="00ED1ED7">
              <w:rPr>
                <w:rFonts w:ascii="Arial" w:hAnsi="Arial" w:cs="Arial"/>
                <w:sz w:val="20"/>
                <w:szCs w:val="20"/>
              </w:rPr>
              <w:t xml:space="preserve"> 10</w:t>
            </w:r>
            <w:r w:rsidRPr="00ED1ED7">
              <w:rPr>
                <w:rFonts w:ascii="Arial" w:hAnsi="Arial" w:cs="Arial"/>
                <w:sz w:val="20"/>
                <w:szCs w:val="20"/>
                <w:vertAlign w:val="superscript"/>
              </w:rPr>
              <w:t>9</w:t>
            </w:r>
            <w:r w:rsidRPr="00ED1ED7">
              <w:rPr>
                <w:rFonts w:ascii="Arial" w:hAnsi="Arial" w:cs="Arial"/>
                <w:sz w:val="20"/>
                <w:szCs w:val="20"/>
              </w:rPr>
              <w:t>/</w:t>
            </w:r>
            <w:r>
              <w:rPr>
                <w:rFonts w:ascii="Arial" w:hAnsi="Arial" w:cs="Arial"/>
                <w:sz w:val="20"/>
                <w:szCs w:val="20"/>
              </w:rPr>
              <w:t>l. Pri hodnotení v 32. týždni v skupine pacientov liečených JAKAVI dosiahlo úplnú odpoveď 23,6%, v skupine liečenej BAT ju dosiahlo 8,9% pacientov (p = 0,003).</w:t>
            </w:r>
          </w:p>
          <w:p w:rsidR="00B3311E" w:rsidRPr="00B10C9D" w:rsidRDefault="00B3311E" w:rsidP="00B3311E">
            <w:pPr>
              <w:spacing w:after="120"/>
              <w:jc w:val="both"/>
              <w:rPr>
                <w:rFonts w:ascii="Arial" w:hAnsi="Arial" w:cs="Arial"/>
                <w:sz w:val="20"/>
                <w:szCs w:val="20"/>
              </w:rPr>
            </w:pPr>
            <w:r w:rsidRPr="00B10C9D">
              <w:rPr>
                <w:rFonts w:ascii="Arial" w:hAnsi="Arial" w:cs="Arial"/>
                <w:sz w:val="20"/>
                <w:szCs w:val="20"/>
              </w:rPr>
              <w:t xml:space="preserve">Tieto výsledky </w:t>
            </w:r>
            <w:r>
              <w:rPr>
                <w:rFonts w:ascii="Arial" w:hAnsi="Arial" w:cs="Arial"/>
                <w:sz w:val="20"/>
                <w:szCs w:val="20"/>
              </w:rPr>
              <w:t>pretrvávali aj</w:t>
            </w:r>
            <w:r w:rsidRPr="00B10C9D">
              <w:rPr>
                <w:rFonts w:ascii="Arial" w:hAnsi="Arial" w:cs="Arial"/>
                <w:sz w:val="20"/>
                <w:szCs w:val="20"/>
              </w:rPr>
              <w:t xml:space="preserve"> v 48. týždni, pričom 20,9% pacientov randomizovaných na JAKAVI s</w:t>
            </w:r>
            <w:r>
              <w:rPr>
                <w:rFonts w:ascii="Arial" w:hAnsi="Arial" w:cs="Arial"/>
                <w:sz w:val="20"/>
                <w:szCs w:val="20"/>
              </w:rPr>
              <w:t>i udržalo</w:t>
            </w:r>
            <w:r w:rsidRPr="00B10C9D">
              <w:rPr>
                <w:rFonts w:ascii="Arial" w:hAnsi="Arial" w:cs="Arial"/>
                <w:sz w:val="20"/>
                <w:szCs w:val="20"/>
              </w:rPr>
              <w:t xml:space="preserve"> úpln</w:t>
            </w:r>
            <w:r>
              <w:rPr>
                <w:rFonts w:ascii="Arial" w:hAnsi="Arial" w:cs="Arial"/>
                <w:sz w:val="20"/>
                <w:szCs w:val="20"/>
              </w:rPr>
              <w:t>ú</w:t>
            </w:r>
            <w:r w:rsidRPr="00B10C9D">
              <w:rPr>
                <w:rFonts w:ascii="Arial" w:hAnsi="Arial" w:cs="Arial"/>
                <w:sz w:val="20"/>
                <w:szCs w:val="20"/>
              </w:rPr>
              <w:t xml:space="preserve"> hematologick</w:t>
            </w:r>
            <w:r>
              <w:rPr>
                <w:rFonts w:ascii="Arial" w:hAnsi="Arial" w:cs="Arial"/>
                <w:sz w:val="20"/>
                <w:szCs w:val="20"/>
              </w:rPr>
              <w:t>ú</w:t>
            </w:r>
            <w:r w:rsidRPr="00B10C9D">
              <w:rPr>
                <w:rFonts w:ascii="Arial" w:hAnsi="Arial" w:cs="Arial"/>
                <w:sz w:val="20"/>
                <w:szCs w:val="20"/>
              </w:rPr>
              <w:t xml:space="preserve"> odpoveď, na rozdiel od 0,9% pacientov randomizovaných na BAT. </w:t>
            </w:r>
            <w:r>
              <w:rPr>
                <w:rFonts w:ascii="Arial" w:hAnsi="Arial" w:cs="Arial"/>
                <w:sz w:val="20"/>
                <w:szCs w:val="20"/>
              </w:rPr>
              <w:t xml:space="preserve">V 80. týždni bola </w:t>
            </w:r>
            <w:r w:rsidRPr="00B10C9D">
              <w:rPr>
                <w:rFonts w:ascii="Arial" w:hAnsi="Arial" w:cs="Arial"/>
                <w:sz w:val="20"/>
                <w:szCs w:val="20"/>
              </w:rPr>
              <w:t>úpln</w:t>
            </w:r>
            <w:r>
              <w:rPr>
                <w:rFonts w:ascii="Arial" w:hAnsi="Arial" w:cs="Arial"/>
                <w:sz w:val="20"/>
                <w:szCs w:val="20"/>
              </w:rPr>
              <w:t>á</w:t>
            </w:r>
            <w:r w:rsidRPr="00B10C9D">
              <w:rPr>
                <w:rFonts w:ascii="Arial" w:hAnsi="Arial" w:cs="Arial"/>
                <w:sz w:val="20"/>
                <w:szCs w:val="20"/>
              </w:rPr>
              <w:t xml:space="preserve"> hematologick</w:t>
            </w:r>
            <w:r>
              <w:rPr>
                <w:rFonts w:ascii="Arial" w:hAnsi="Arial" w:cs="Arial"/>
                <w:sz w:val="20"/>
                <w:szCs w:val="20"/>
              </w:rPr>
              <w:t>á</w:t>
            </w:r>
            <w:r w:rsidRPr="00B10C9D">
              <w:rPr>
                <w:rFonts w:ascii="Arial" w:hAnsi="Arial" w:cs="Arial"/>
                <w:sz w:val="20"/>
                <w:szCs w:val="20"/>
              </w:rPr>
              <w:t xml:space="preserve"> remisi</w:t>
            </w:r>
            <w:r>
              <w:rPr>
                <w:rFonts w:ascii="Arial" w:hAnsi="Arial" w:cs="Arial"/>
                <w:sz w:val="20"/>
                <w:szCs w:val="20"/>
              </w:rPr>
              <w:t>a u 1</w:t>
            </w:r>
            <w:r w:rsidRPr="00B10C9D">
              <w:rPr>
                <w:rFonts w:ascii="Arial" w:hAnsi="Arial" w:cs="Arial"/>
                <w:sz w:val="20"/>
                <w:szCs w:val="20"/>
              </w:rPr>
              <w:t xml:space="preserve">6,4% (95% CI 10,0-24,6) pacientov </w:t>
            </w:r>
            <w:r>
              <w:rPr>
                <w:rFonts w:ascii="Arial" w:hAnsi="Arial" w:cs="Arial"/>
                <w:sz w:val="20"/>
                <w:szCs w:val="20"/>
              </w:rPr>
              <w:t xml:space="preserve">liečených </w:t>
            </w:r>
            <w:r w:rsidRPr="00B10C9D">
              <w:rPr>
                <w:rFonts w:ascii="Arial" w:hAnsi="Arial" w:cs="Arial"/>
                <w:sz w:val="20"/>
                <w:szCs w:val="20"/>
              </w:rPr>
              <w:t xml:space="preserve">JAKAVI. Pravdepodobnosť udržania kompletnej hematologickej </w:t>
            </w:r>
            <w:r>
              <w:rPr>
                <w:rFonts w:ascii="Arial" w:hAnsi="Arial" w:cs="Arial"/>
                <w:sz w:val="20"/>
                <w:szCs w:val="20"/>
              </w:rPr>
              <w:t>odpovede</w:t>
            </w:r>
            <w:r w:rsidRPr="00B10C9D">
              <w:rPr>
                <w:rFonts w:ascii="Arial" w:hAnsi="Arial" w:cs="Arial"/>
                <w:sz w:val="20"/>
                <w:szCs w:val="20"/>
              </w:rPr>
              <w:t xml:space="preserve"> najmenej 80 týždňov od</w:t>
            </w:r>
            <w:r>
              <w:rPr>
                <w:rFonts w:ascii="Arial" w:hAnsi="Arial" w:cs="Arial"/>
                <w:sz w:val="20"/>
                <w:szCs w:val="20"/>
              </w:rPr>
              <w:t xml:space="preserve"> začiatku</w:t>
            </w:r>
            <w:r w:rsidRPr="00B10C9D">
              <w:rPr>
                <w:rFonts w:ascii="Arial" w:hAnsi="Arial" w:cs="Arial"/>
                <w:sz w:val="20"/>
                <w:szCs w:val="20"/>
              </w:rPr>
              <w:t xml:space="preserve"> času odpovede bola 69%</w:t>
            </w:r>
            <w:r>
              <w:rPr>
                <w:rFonts w:ascii="Arial" w:hAnsi="Arial" w:cs="Arial"/>
                <w:sz w:val="20"/>
                <w:szCs w:val="20"/>
              </w:rPr>
              <w:t>.</w:t>
            </w:r>
          </w:p>
          <w:p w:rsidR="00B3311E" w:rsidRDefault="00B3311E" w:rsidP="00B3311E">
            <w:pPr>
              <w:jc w:val="both"/>
              <w:rPr>
                <w:rFonts w:ascii="Arial" w:hAnsi="Arial" w:cs="Arial"/>
                <w:sz w:val="20"/>
                <w:szCs w:val="20"/>
              </w:rPr>
            </w:pPr>
          </w:p>
          <w:p w:rsidR="00B3311E" w:rsidRPr="00B3311E" w:rsidRDefault="00B3311E" w:rsidP="00B3311E">
            <w:pPr>
              <w:jc w:val="both"/>
              <w:rPr>
                <w:rFonts w:ascii="Arial" w:hAnsi="Arial" w:cs="Arial"/>
                <w:b/>
                <w:sz w:val="20"/>
                <w:szCs w:val="20"/>
              </w:rPr>
            </w:pPr>
            <w:r w:rsidRPr="00B3311E">
              <w:rPr>
                <w:rFonts w:ascii="Arial" w:hAnsi="Arial" w:cs="Arial"/>
                <w:b/>
                <w:sz w:val="20"/>
                <w:szCs w:val="20"/>
              </w:rPr>
              <w:t>Štúdia RESPONSE-2</w:t>
            </w:r>
          </w:p>
          <w:p w:rsidR="00B3311E" w:rsidRDefault="00B3311E" w:rsidP="0052219C">
            <w:pPr>
              <w:jc w:val="both"/>
              <w:rPr>
                <w:rFonts w:ascii="Arial" w:hAnsi="Arial" w:cs="Arial"/>
                <w:sz w:val="20"/>
                <w:szCs w:val="20"/>
              </w:rPr>
            </w:pPr>
            <w:r>
              <w:rPr>
                <w:rFonts w:ascii="Arial" w:hAnsi="Arial" w:cs="Arial"/>
                <w:sz w:val="20"/>
                <w:szCs w:val="20"/>
              </w:rPr>
              <w:t>Otvorená, randomizovaná, multicentrická, aktívne kontrolovaná klinická štúdia fázy IIIb. Cieľom bolo vyhodnotiť účinnosť a bezpečnosť podávania JAKAVI u pacientov s</w:t>
            </w:r>
            <w:r w:rsidR="0052219C">
              <w:rPr>
                <w:rFonts w:ascii="Arial" w:hAnsi="Arial" w:cs="Arial"/>
                <w:sz w:val="20"/>
                <w:szCs w:val="20"/>
              </w:rPr>
              <w:t> </w:t>
            </w:r>
            <w:r>
              <w:rPr>
                <w:rFonts w:ascii="Arial" w:hAnsi="Arial" w:cs="Arial"/>
                <w:sz w:val="20"/>
                <w:szCs w:val="20"/>
              </w:rPr>
              <w:t>PV</w:t>
            </w:r>
            <w:r w:rsidR="0052219C">
              <w:rPr>
                <w:rFonts w:ascii="Arial" w:hAnsi="Arial" w:cs="Arial"/>
                <w:sz w:val="20"/>
                <w:szCs w:val="20"/>
              </w:rPr>
              <w:t>, ktorí boli liečení hydroxyureou a na liečbu boli rezistentní alebo ju prestali tolerovať. Na rozdiel od štúdie RESPONSE pacienti nemali hmatnú splenomegáliu.</w:t>
            </w:r>
          </w:p>
          <w:p w:rsidR="0052219C" w:rsidRDefault="0052219C" w:rsidP="0052219C">
            <w:pPr>
              <w:jc w:val="both"/>
              <w:rPr>
                <w:rFonts w:ascii="Arial" w:hAnsi="Arial" w:cs="Arial"/>
                <w:sz w:val="20"/>
                <w:szCs w:val="20"/>
              </w:rPr>
            </w:pPr>
            <w:r>
              <w:rPr>
                <w:rFonts w:ascii="Arial" w:hAnsi="Arial" w:cs="Arial"/>
                <w:sz w:val="20"/>
                <w:szCs w:val="20"/>
              </w:rPr>
              <w:t>Do štúdie bolo zaradených 149 pacientov, randomizovaných v pomere 1:1 podobne ako v štúdii RESPONSE – podávanie JAKAVI v liečebnom ramene a podávanie BAT v kontrolnom ramene.</w:t>
            </w:r>
          </w:p>
          <w:p w:rsidR="0052219C" w:rsidRDefault="0052219C" w:rsidP="0052219C">
            <w:pPr>
              <w:spacing w:after="120"/>
              <w:jc w:val="both"/>
              <w:rPr>
                <w:rFonts w:ascii="Arial" w:hAnsi="Arial" w:cs="Arial"/>
                <w:sz w:val="20"/>
                <w:szCs w:val="20"/>
              </w:rPr>
            </w:pPr>
            <w:r>
              <w:rPr>
                <w:rFonts w:ascii="Arial" w:hAnsi="Arial" w:cs="Arial"/>
                <w:sz w:val="20"/>
                <w:szCs w:val="20"/>
              </w:rPr>
              <w:t>Primárnym kľúčovým ukazovateľom bol podiel pacientov, ktorí dosiahli kontrolu hematokritu v 28. týždni. Sekundárnym ukazovateľom bol podiel pacientov, ktorí dosiahli úplnú hematologické remisiu v 28. týždni.</w:t>
            </w:r>
          </w:p>
          <w:p w:rsidR="0052219C" w:rsidRDefault="0052219C" w:rsidP="0052219C">
            <w:pPr>
              <w:jc w:val="both"/>
              <w:rPr>
                <w:rFonts w:ascii="Arial" w:hAnsi="Arial" w:cs="Arial"/>
                <w:sz w:val="20"/>
                <w:szCs w:val="20"/>
              </w:rPr>
            </w:pPr>
            <w:r>
              <w:rPr>
                <w:rFonts w:ascii="Arial" w:hAnsi="Arial" w:cs="Arial"/>
                <w:sz w:val="20"/>
                <w:szCs w:val="20"/>
              </w:rPr>
              <w:t>Výsledky:</w:t>
            </w:r>
          </w:p>
          <w:p w:rsidR="0052219C" w:rsidRDefault="00B16436" w:rsidP="00B16436">
            <w:pPr>
              <w:jc w:val="both"/>
              <w:rPr>
                <w:rFonts w:ascii="Arial" w:hAnsi="Arial" w:cs="Arial"/>
                <w:sz w:val="20"/>
                <w:szCs w:val="20"/>
              </w:rPr>
            </w:pPr>
            <w:r>
              <w:rPr>
                <w:rFonts w:ascii="Arial" w:hAnsi="Arial" w:cs="Arial"/>
                <w:sz w:val="20"/>
                <w:szCs w:val="20"/>
              </w:rPr>
              <w:t>Dosiahnutie primárneho koncového ukazovateľa: v</w:t>
            </w:r>
            <w:r w:rsidR="0052219C">
              <w:rPr>
                <w:rFonts w:ascii="Arial" w:hAnsi="Arial" w:cs="Arial"/>
                <w:sz w:val="20"/>
                <w:szCs w:val="20"/>
              </w:rPr>
              <w:t> 28. týždni dosiahlo kontrolu hematokritu 62,2% (95% CI 50,1 – 73,2) pacientov liečených JAKAVI v porovnaní s 18,7%</w:t>
            </w:r>
            <w:r>
              <w:rPr>
                <w:rFonts w:ascii="Arial" w:hAnsi="Arial" w:cs="Arial"/>
                <w:sz w:val="20"/>
                <w:szCs w:val="20"/>
              </w:rPr>
              <w:t xml:space="preserve"> (95% CI 10,6 – 29,3)</w:t>
            </w:r>
            <w:r w:rsidR="0052219C">
              <w:rPr>
                <w:rFonts w:ascii="Arial" w:hAnsi="Arial" w:cs="Arial"/>
                <w:sz w:val="20"/>
                <w:szCs w:val="20"/>
              </w:rPr>
              <w:t xml:space="preserve"> pacient</w:t>
            </w:r>
            <w:r>
              <w:rPr>
                <w:rFonts w:ascii="Arial" w:hAnsi="Arial" w:cs="Arial"/>
                <w:sz w:val="20"/>
                <w:szCs w:val="20"/>
              </w:rPr>
              <w:t>ov</w:t>
            </w:r>
            <w:r w:rsidR="0052219C">
              <w:rPr>
                <w:rFonts w:ascii="Arial" w:hAnsi="Arial" w:cs="Arial"/>
                <w:sz w:val="20"/>
                <w:szCs w:val="20"/>
              </w:rPr>
              <w:t xml:space="preserve"> liečený</w:t>
            </w:r>
            <w:r>
              <w:rPr>
                <w:rFonts w:ascii="Arial" w:hAnsi="Arial" w:cs="Arial"/>
                <w:sz w:val="20"/>
                <w:szCs w:val="20"/>
              </w:rPr>
              <w:t xml:space="preserve">ch </w:t>
            </w:r>
            <w:r w:rsidR="0052219C">
              <w:rPr>
                <w:rFonts w:ascii="Arial" w:hAnsi="Arial" w:cs="Arial"/>
                <w:sz w:val="20"/>
                <w:szCs w:val="20"/>
              </w:rPr>
              <w:t>BAT</w:t>
            </w:r>
            <w:r>
              <w:rPr>
                <w:rFonts w:ascii="Arial" w:hAnsi="Arial" w:cs="Arial"/>
                <w:sz w:val="20"/>
                <w:szCs w:val="20"/>
              </w:rPr>
              <w:t>, p &lt; 0,0001.</w:t>
            </w:r>
          </w:p>
          <w:p w:rsidR="00B16436" w:rsidRDefault="00B16436" w:rsidP="00B16436">
            <w:pPr>
              <w:jc w:val="both"/>
              <w:rPr>
                <w:rFonts w:ascii="Arial" w:hAnsi="Arial" w:cs="Arial"/>
                <w:sz w:val="20"/>
                <w:szCs w:val="20"/>
              </w:rPr>
            </w:pPr>
            <w:r>
              <w:rPr>
                <w:rFonts w:ascii="Arial" w:hAnsi="Arial" w:cs="Arial"/>
                <w:sz w:val="20"/>
                <w:szCs w:val="20"/>
              </w:rPr>
              <w:t>Dosiahnutie sekundárneho koncového ukazovateľa: úplnú hematologickú odpoveď v 28. týždni dosiahlo 23,0% pacientov liečených JAKAVI (95% CI 14,0 – 34,2) v porovnaní s 5,3% (95% CI 1,5 – 13,1) pacientov liečených BAT, p = 0,0019.</w:t>
            </w:r>
          </w:p>
          <w:p w:rsidR="00B16436" w:rsidRDefault="00B16436" w:rsidP="00B16436">
            <w:pPr>
              <w:jc w:val="both"/>
              <w:rPr>
                <w:rFonts w:ascii="Arial" w:hAnsi="Arial" w:cs="Arial"/>
                <w:sz w:val="20"/>
                <w:szCs w:val="20"/>
              </w:rPr>
            </w:pPr>
            <w:r>
              <w:rPr>
                <w:rFonts w:ascii="Arial" w:hAnsi="Arial" w:cs="Arial"/>
                <w:sz w:val="20"/>
                <w:szCs w:val="20"/>
              </w:rPr>
              <w:t xml:space="preserve">Od začiatku štúdie po </w:t>
            </w:r>
            <w:r w:rsidRPr="00345457">
              <w:rPr>
                <w:rFonts w:ascii="Arial" w:hAnsi="Arial" w:cs="Arial"/>
                <w:sz w:val="20"/>
                <w:szCs w:val="20"/>
              </w:rPr>
              <w:t>28. týžd</w:t>
            </w:r>
            <w:r>
              <w:rPr>
                <w:rFonts w:ascii="Arial" w:hAnsi="Arial" w:cs="Arial"/>
                <w:sz w:val="20"/>
                <w:szCs w:val="20"/>
              </w:rPr>
              <w:t>e</w:t>
            </w:r>
            <w:r w:rsidRPr="00345457">
              <w:rPr>
                <w:rFonts w:ascii="Arial" w:hAnsi="Arial" w:cs="Arial"/>
                <w:sz w:val="20"/>
                <w:szCs w:val="20"/>
              </w:rPr>
              <w:t xml:space="preserve">ň bolo potrebných menej flebotomických </w:t>
            </w:r>
            <w:r>
              <w:rPr>
                <w:rFonts w:ascii="Arial" w:hAnsi="Arial" w:cs="Arial"/>
                <w:sz w:val="20"/>
                <w:szCs w:val="20"/>
              </w:rPr>
              <w:t>výkonov</w:t>
            </w:r>
            <w:r w:rsidRPr="00345457">
              <w:rPr>
                <w:rFonts w:ascii="Arial" w:hAnsi="Arial" w:cs="Arial"/>
                <w:sz w:val="20"/>
                <w:szCs w:val="20"/>
              </w:rPr>
              <w:t xml:space="preserve"> na udržanie kontroly hematokritu v ramene </w:t>
            </w:r>
            <w:r>
              <w:rPr>
                <w:rFonts w:ascii="Arial" w:hAnsi="Arial" w:cs="Arial"/>
                <w:sz w:val="20"/>
                <w:szCs w:val="20"/>
              </w:rPr>
              <w:t xml:space="preserve">s </w:t>
            </w:r>
            <w:r w:rsidRPr="00345457">
              <w:rPr>
                <w:rFonts w:ascii="Arial" w:hAnsi="Arial" w:cs="Arial"/>
                <w:sz w:val="20"/>
                <w:szCs w:val="20"/>
              </w:rPr>
              <w:t xml:space="preserve">JAKAVI (celkom 19) ako v skupine s BAT (celkom 98). </w:t>
            </w:r>
          </w:p>
          <w:p w:rsidR="00B16436" w:rsidRPr="00345457" w:rsidRDefault="00B16436" w:rsidP="00B16436">
            <w:pPr>
              <w:spacing w:after="120"/>
              <w:jc w:val="both"/>
              <w:rPr>
                <w:rFonts w:ascii="Arial" w:hAnsi="Arial" w:cs="Arial"/>
                <w:sz w:val="20"/>
                <w:szCs w:val="20"/>
              </w:rPr>
            </w:pPr>
            <w:r w:rsidRPr="00345457">
              <w:rPr>
                <w:rFonts w:ascii="Arial" w:hAnsi="Arial" w:cs="Arial"/>
                <w:sz w:val="20"/>
                <w:szCs w:val="20"/>
              </w:rPr>
              <w:t>Už v 4. týždni bol v skupine s JAKAVI pozorovaný pokles priemerných hodnôt hematokritu. V 28. týždni sa priemerná hodnota hematokritu znížila oproti východiskovej hodnote o 2,60 (42,78 pri počiatočnej hodnote na 40,18 v 28. týždni) v skupine s JAKAVI, zatiaľ čo priemerný hematokrit sa zvýšil o 2,15 v ramene BAT (42,72 na začiatku liečby na 44,87 v 28. týždni).</w:t>
            </w:r>
          </w:p>
          <w:p w:rsidR="006A2BA0" w:rsidRPr="006A2BA0" w:rsidRDefault="006A2BA0" w:rsidP="002E6A26">
            <w:pPr>
              <w:pStyle w:val="BodyText"/>
              <w:rPr>
                <w:rFonts w:ascii="Arial" w:hAnsi="Arial" w:cs="Arial"/>
                <w:bCs/>
                <w:sz w:val="20"/>
              </w:rPr>
            </w:pPr>
          </w:p>
        </w:tc>
      </w:tr>
    </w:tbl>
    <w:p w:rsidR="00DB121E" w:rsidRDefault="00DB121E" w:rsidP="00DB121E"/>
    <w:p w:rsidR="00AC535C" w:rsidRDefault="00AC535C" w:rsidP="00DB121E"/>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firstRow="1" w:lastRow="0" w:firstColumn="1" w:lastColumn="0" w:noHBand="0" w:noVBand="0"/>
      </w:tblPr>
      <w:tblGrid>
        <w:gridCol w:w="1242"/>
        <w:gridCol w:w="7984"/>
      </w:tblGrid>
      <w:tr w:rsidR="00DB121E" w:rsidTr="009B2620">
        <w:trPr>
          <w:trHeight w:val="440"/>
        </w:trPr>
        <w:tc>
          <w:tcPr>
            <w:tcW w:w="1242" w:type="dxa"/>
            <w:tcBorders>
              <w:top w:val="single" w:sz="18" w:space="0" w:color="auto"/>
              <w:bottom w:val="single" w:sz="4" w:space="0" w:color="auto"/>
            </w:tcBorders>
            <w:shd w:val="clear" w:color="auto" w:fill="000000"/>
            <w:vAlign w:val="center"/>
          </w:tcPr>
          <w:p w:rsidR="00DB121E" w:rsidRDefault="0091093E" w:rsidP="00DB121E">
            <w:pPr>
              <w:pStyle w:val="BodyText"/>
              <w:rPr>
                <w:rFonts w:ascii="Arial" w:hAnsi="Arial" w:cs="Arial"/>
                <w:b/>
                <w:sz w:val="20"/>
              </w:rPr>
            </w:pPr>
            <w:r>
              <w:rPr>
                <w:rFonts w:ascii="Arial" w:hAnsi="Arial" w:cs="Arial"/>
                <w:b/>
                <w:sz w:val="20"/>
              </w:rPr>
              <w:t xml:space="preserve">Príloha č.3 </w:t>
            </w:r>
          </w:p>
        </w:tc>
        <w:tc>
          <w:tcPr>
            <w:tcW w:w="7984" w:type="dxa"/>
            <w:tcBorders>
              <w:top w:val="single" w:sz="18" w:space="0" w:color="auto"/>
              <w:bottom w:val="single" w:sz="4" w:space="0" w:color="auto"/>
            </w:tcBorders>
            <w:vAlign w:val="center"/>
          </w:tcPr>
          <w:p w:rsidR="00DB121E" w:rsidRPr="00E76A8E" w:rsidRDefault="00DB121E" w:rsidP="00FB4AFC">
            <w:pPr>
              <w:pStyle w:val="BodyText"/>
              <w:rPr>
                <w:rFonts w:ascii="Arial" w:hAnsi="Arial" w:cs="Arial"/>
                <w:sz w:val="20"/>
              </w:rPr>
            </w:pPr>
            <w:r w:rsidRPr="00E76A8E">
              <w:rPr>
                <w:rFonts w:ascii="Arial" w:hAnsi="Arial" w:cs="Arial"/>
                <w:b/>
                <w:sz w:val="20"/>
              </w:rPr>
              <w:t>Významné súhrnné články z odbornej literatúry</w:t>
            </w:r>
          </w:p>
        </w:tc>
      </w:tr>
      <w:tr w:rsidR="00DB121E" w:rsidTr="0037637C">
        <w:trPr>
          <w:trHeight w:val="480"/>
        </w:trPr>
        <w:tc>
          <w:tcPr>
            <w:tcW w:w="9226" w:type="dxa"/>
            <w:gridSpan w:val="2"/>
            <w:tcBorders>
              <w:top w:val="single" w:sz="4" w:space="0" w:color="auto"/>
              <w:bottom w:val="single" w:sz="12" w:space="0" w:color="auto"/>
            </w:tcBorders>
            <w:vAlign w:val="center"/>
          </w:tcPr>
          <w:p w:rsidR="008A05D9" w:rsidRPr="00670E15" w:rsidRDefault="008A05D9" w:rsidP="00672F87">
            <w:pPr>
              <w:spacing w:after="160" w:line="259" w:lineRule="auto"/>
              <w:rPr>
                <w:rFonts w:ascii="Arial" w:eastAsiaTheme="minorEastAsia" w:hAnsi="Arial" w:cs="Arial"/>
                <w:sz w:val="20"/>
                <w:szCs w:val="20"/>
              </w:rPr>
            </w:pPr>
          </w:p>
          <w:p w:rsidR="00672F87" w:rsidRPr="00B64092" w:rsidRDefault="00672F87" w:rsidP="00672F87">
            <w:pPr>
              <w:spacing w:after="160" w:line="259" w:lineRule="auto"/>
              <w:rPr>
                <w:rFonts w:ascii="Arial" w:hAnsi="Arial" w:cs="Arial"/>
                <w:sz w:val="20"/>
                <w:szCs w:val="20"/>
              </w:rPr>
            </w:pPr>
            <w:r w:rsidRPr="00670E15">
              <w:rPr>
                <w:rFonts w:ascii="Arial" w:eastAsiaTheme="minorEastAsia" w:hAnsi="Arial" w:cs="Arial"/>
                <w:sz w:val="20"/>
                <w:szCs w:val="20"/>
                <w:lang w:val="de-DE"/>
              </w:rPr>
              <w:t xml:space="preserve">Verstovsek S, Vannucchi AM, Griesshammer M, Masszi T, Durrant S et al. </w:t>
            </w:r>
            <w:r w:rsidRPr="00B64092">
              <w:rPr>
                <w:rFonts w:ascii="Arial" w:eastAsiaTheme="minorEastAsia" w:hAnsi="Arial" w:cs="Arial"/>
                <w:sz w:val="20"/>
                <w:szCs w:val="20"/>
                <w:lang w:val="en-US"/>
              </w:rPr>
              <w:t xml:space="preserve">(2015) Ruxolitinib in Polycythemia Vera: Follow-Up From the RESPONSE Trial. </w:t>
            </w:r>
            <w:r w:rsidRPr="00B64092">
              <w:rPr>
                <w:rFonts w:ascii="Arial" w:eastAsiaTheme="minorEastAsia" w:hAnsi="Arial" w:cs="Arial"/>
                <w:i/>
                <w:iCs/>
                <w:sz w:val="20"/>
                <w:szCs w:val="20"/>
                <w:lang w:val="en-US"/>
              </w:rPr>
              <w:t xml:space="preserve">51st Annual Meeting of the American </w:t>
            </w:r>
            <w:r w:rsidRPr="00B64092">
              <w:rPr>
                <w:rFonts w:ascii="Arial" w:eastAsiaTheme="minorEastAsia" w:hAnsi="Arial" w:cs="Arial"/>
                <w:i/>
                <w:iCs/>
                <w:sz w:val="20"/>
                <w:szCs w:val="20"/>
                <w:lang w:val="en-US"/>
              </w:rPr>
              <w:lastRenderedPageBreak/>
              <w:t>Society of Clinical Oncology (ASCO)</w:t>
            </w:r>
            <w:r w:rsidRPr="00B64092">
              <w:rPr>
                <w:rFonts w:ascii="Arial" w:eastAsiaTheme="minorEastAsia" w:hAnsi="Arial" w:cs="Arial"/>
                <w:sz w:val="20"/>
                <w:szCs w:val="20"/>
                <w:lang w:val="en-US"/>
              </w:rPr>
              <w:t>. Chicago, IL. May 29-June 2, 2015.</w:t>
            </w:r>
          </w:p>
          <w:p w:rsidR="00672F87" w:rsidRPr="00B64092" w:rsidRDefault="00672F87" w:rsidP="00672F87">
            <w:pPr>
              <w:spacing w:after="160" w:line="259" w:lineRule="auto"/>
              <w:rPr>
                <w:rFonts w:ascii="Arial" w:hAnsi="Arial" w:cs="Arial"/>
                <w:sz w:val="20"/>
                <w:szCs w:val="20"/>
              </w:rPr>
            </w:pPr>
            <w:r w:rsidRPr="00B64092">
              <w:rPr>
                <w:rFonts w:ascii="Arial" w:eastAsiaTheme="minorEastAsia" w:hAnsi="Arial" w:cs="Arial"/>
                <w:sz w:val="20"/>
                <w:szCs w:val="20"/>
                <w:lang w:val="en-US"/>
              </w:rPr>
              <w:t>Verstovsek S, Kiladjian J-J, Griesshammer M, Masszi T, Durrant S, Passamonti F, Harrison CN, Pane F, Zachee P, Mesa R, He S, Jones MM, Garrett W, Li J, Pirron U, Lawniczek T, Vannucchi AM (2014a) Results of a prospective, randomized, open-label phase 3 study of ruxolitinib  in polycythemia vera patients resistant to or intolerant of hydroxyurea: the RESPONSE trial. J Clin Oncol 32 (5s):abstract 7026.</w:t>
            </w:r>
          </w:p>
          <w:p w:rsidR="00672F87" w:rsidRPr="00B64092" w:rsidRDefault="00672F87" w:rsidP="00672F87">
            <w:pPr>
              <w:spacing w:after="160" w:line="259" w:lineRule="auto"/>
              <w:rPr>
                <w:rFonts w:ascii="Arial" w:hAnsi="Arial" w:cs="Arial"/>
                <w:sz w:val="20"/>
                <w:szCs w:val="20"/>
              </w:rPr>
            </w:pPr>
            <w:r w:rsidRPr="00B64092">
              <w:rPr>
                <w:rFonts w:ascii="Arial" w:eastAsiaTheme="minorEastAsia" w:hAnsi="Arial" w:cs="Arial"/>
                <w:sz w:val="20"/>
                <w:szCs w:val="20"/>
                <w:lang w:val="en-US"/>
              </w:rPr>
              <w:t xml:space="preserve">Verstovsek S, Kiladijan JJ, Mesa R, Jones MM, He S et al. (2014b) Ruxolitinib efficacy by hematocrit control in patients with polycythemia vera: an analysis of the RESPONSE trial.  </w:t>
            </w:r>
            <w:r w:rsidRPr="00B64092">
              <w:rPr>
                <w:rFonts w:ascii="Arial" w:eastAsiaTheme="minorEastAsia" w:hAnsi="Arial" w:cs="Arial"/>
                <w:i/>
                <w:iCs/>
                <w:sz w:val="20"/>
                <w:szCs w:val="20"/>
                <w:lang w:val="en-US"/>
              </w:rPr>
              <w:t>American Society of Hematology (ASH) Annual Meeting</w:t>
            </w:r>
            <w:r w:rsidRPr="00B64092">
              <w:rPr>
                <w:rFonts w:ascii="Arial" w:eastAsiaTheme="minorEastAsia" w:hAnsi="Arial" w:cs="Arial"/>
                <w:sz w:val="20"/>
                <w:szCs w:val="20"/>
                <w:lang w:val="en-US"/>
              </w:rPr>
              <w:t>. San Francisco, CA. December 6-9, 2014.</w:t>
            </w:r>
          </w:p>
          <w:p w:rsidR="00672F87" w:rsidRPr="00B64092" w:rsidRDefault="00672F87" w:rsidP="00672F87">
            <w:pPr>
              <w:spacing w:after="160" w:line="259" w:lineRule="auto"/>
              <w:rPr>
                <w:rFonts w:ascii="Arial" w:hAnsi="Arial" w:cs="Arial"/>
                <w:sz w:val="20"/>
                <w:szCs w:val="20"/>
              </w:rPr>
            </w:pPr>
            <w:r w:rsidRPr="00670E15">
              <w:rPr>
                <w:rFonts w:ascii="Arial" w:eastAsiaTheme="minorEastAsia" w:hAnsi="Arial" w:cs="Arial"/>
                <w:sz w:val="20"/>
                <w:szCs w:val="20"/>
              </w:rPr>
              <w:t>Verstovsek S, Passamonti F, Rambaldi A, Barosi G, Rosen PJ, Rumi E, Gattoni E, Pieri L, Guglielmelli P, Elena C, He S, Contel N, Mookerjee B, Sandor V, Cazzola M, Kantarjian HM, Barbui T, Vannucchi AM (2014b) A phase 2 study of ruxolitinib, an oral JAK1 and JAK2 Inhibitor, in patients with advanced polycythemia vera who are refractory or intolerant to hydroxyurea. Cancer 120 (4):513-520.</w:t>
            </w:r>
          </w:p>
          <w:p w:rsidR="00672F87" w:rsidRDefault="00672F87" w:rsidP="00672F87">
            <w:pPr>
              <w:spacing w:after="160" w:line="259" w:lineRule="auto"/>
              <w:rPr>
                <w:rFonts w:ascii="Arial" w:eastAsiaTheme="minorEastAsia" w:hAnsi="Arial" w:cs="Arial"/>
                <w:sz w:val="20"/>
                <w:szCs w:val="20"/>
                <w:lang w:val="en-US"/>
              </w:rPr>
            </w:pPr>
            <w:r w:rsidRPr="00670E15">
              <w:rPr>
                <w:rFonts w:ascii="Arial" w:eastAsiaTheme="minorEastAsia" w:hAnsi="Arial" w:cs="Arial"/>
                <w:sz w:val="20"/>
                <w:szCs w:val="20"/>
              </w:rPr>
              <w:t xml:space="preserve">Vannucchi AM, Kiladjian JJ, Griesshammer M, Massazi T, Durrant S, Passamonti F, Harrison C, Pane F, Zachee P, Mesa R, He S, Jones MM, Garrett W, Li J, Pirron U, Verstovsek S. (2015). </w:t>
            </w:r>
            <w:r w:rsidRPr="00B64092">
              <w:rPr>
                <w:rFonts w:ascii="Arial" w:eastAsiaTheme="minorEastAsia" w:hAnsi="Arial" w:cs="Arial"/>
                <w:sz w:val="20"/>
                <w:szCs w:val="20"/>
                <w:lang w:val="en-US"/>
              </w:rPr>
              <w:t>Ruxolitinib versus standard therapy for the treatment of polycythemia vera. N Engl J Med 372(5):426-35.</w:t>
            </w:r>
          </w:p>
          <w:p w:rsidR="00672F87" w:rsidRDefault="00672F87" w:rsidP="00456963">
            <w:pPr>
              <w:spacing w:after="160" w:line="259" w:lineRule="auto"/>
              <w:rPr>
                <w:rFonts w:ascii="Arial" w:eastAsiaTheme="minorEastAsia" w:hAnsi="Arial" w:cs="Arial"/>
                <w:sz w:val="20"/>
                <w:szCs w:val="20"/>
                <w:lang w:val="en-US"/>
              </w:rPr>
            </w:pPr>
            <w:r w:rsidRPr="00B64092">
              <w:rPr>
                <w:rFonts w:ascii="Arial" w:eastAsiaTheme="minorEastAsia" w:hAnsi="Arial" w:cs="Arial"/>
                <w:sz w:val="20"/>
                <w:szCs w:val="20"/>
                <w:lang w:val="en-US"/>
              </w:rPr>
              <w:t xml:space="preserve">Mesa R, Verstovsek S, Kiladjian JJ, Griesshammer M, Masszi T et al. (2016) Changes in quality of life and disease-related symptoms in patients with polycythemia vera receiving ruxolitinib or standard therapy. </w:t>
            </w:r>
            <w:r w:rsidRPr="00B64092">
              <w:rPr>
                <w:rFonts w:ascii="Arial" w:eastAsiaTheme="minorEastAsia" w:hAnsi="Arial" w:cs="Arial"/>
                <w:i/>
                <w:iCs/>
                <w:sz w:val="20"/>
                <w:szCs w:val="20"/>
                <w:lang w:val="en-US"/>
              </w:rPr>
              <w:t>Eur J Haematol (Epub ahead of print)</w:t>
            </w:r>
            <w:r w:rsidRPr="00B64092">
              <w:rPr>
                <w:rFonts w:ascii="Arial" w:eastAsiaTheme="minorEastAsia" w:hAnsi="Arial" w:cs="Arial"/>
                <w:sz w:val="20"/>
                <w:szCs w:val="20"/>
                <w:lang w:val="en-US"/>
              </w:rPr>
              <w:t xml:space="preserve"> </w:t>
            </w:r>
          </w:p>
          <w:p w:rsidR="00456963" w:rsidRDefault="00456963" w:rsidP="00456963">
            <w:pPr>
              <w:autoSpaceDE w:val="0"/>
              <w:autoSpaceDN w:val="0"/>
              <w:adjustRightInd w:val="0"/>
              <w:spacing w:after="160"/>
              <w:jc w:val="both"/>
              <w:rPr>
                <w:rFonts w:ascii="Arial" w:hAnsi="Arial" w:cs="Arial"/>
                <w:i/>
                <w:sz w:val="20"/>
                <w:szCs w:val="20"/>
              </w:rPr>
            </w:pPr>
            <w:r w:rsidRPr="00456963">
              <w:rPr>
                <w:rFonts w:ascii="Arial" w:hAnsi="Arial" w:cs="Arial"/>
                <w:sz w:val="20"/>
                <w:szCs w:val="20"/>
              </w:rPr>
              <w:t>Mistrík, M.: Myeloidné neoplázie. UK, Bratislava 2014, 59 s.</w:t>
            </w:r>
            <w:r>
              <w:t xml:space="preserve"> </w:t>
            </w:r>
            <w:r w:rsidRPr="00456963">
              <w:rPr>
                <w:rFonts w:ascii="Arial" w:hAnsi="Arial" w:cs="Arial"/>
                <w:i/>
                <w:sz w:val="20"/>
                <w:szCs w:val="20"/>
              </w:rPr>
              <w:t>ISBN 978-80-223-3594-2.</w:t>
            </w:r>
          </w:p>
          <w:p w:rsidR="004D43CD" w:rsidRPr="00B64092" w:rsidRDefault="004D43CD" w:rsidP="004D43CD">
            <w:pPr>
              <w:spacing w:after="160" w:line="259" w:lineRule="auto"/>
              <w:rPr>
                <w:rFonts w:ascii="Arial" w:hAnsi="Arial" w:cs="Arial"/>
                <w:sz w:val="20"/>
                <w:szCs w:val="20"/>
              </w:rPr>
            </w:pPr>
            <w:r w:rsidRPr="00670E15">
              <w:rPr>
                <w:rFonts w:ascii="Arial" w:eastAsiaTheme="minorEastAsia" w:hAnsi="Arial" w:cs="Arial"/>
                <w:sz w:val="20"/>
                <w:szCs w:val="20"/>
              </w:rPr>
              <w:t xml:space="preserve">Baxter EJ, Scott LM, Campbell PJ, East C, Fourouclas N, Swanton S, Vassiliou GS, Bench AJ, Boyd EM, Curtin N, Scott MA, Erber WN, Green AR, Cancer Genome P (2005) Acquired mutation of the tyrosine kinase JAK2 in human myeloproliferative disorders. </w:t>
            </w:r>
            <w:r w:rsidRPr="00B64092">
              <w:rPr>
                <w:rFonts w:ascii="Arial" w:eastAsiaTheme="minorEastAsia" w:hAnsi="Arial" w:cs="Arial"/>
                <w:sz w:val="20"/>
                <w:szCs w:val="20"/>
                <w:lang w:val="en-US"/>
              </w:rPr>
              <w:t>Lancet 365 (9464):1054-1061.</w:t>
            </w:r>
          </w:p>
          <w:p w:rsidR="004D43CD" w:rsidRPr="00B64092" w:rsidRDefault="004D43CD" w:rsidP="004D43CD">
            <w:pPr>
              <w:spacing w:after="160" w:line="259" w:lineRule="auto"/>
              <w:rPr>
                <w:rFonts w:ascii="Arial" w:hAnsi="Arial" w:cs="Arial"/>
                <w:sz w:val="20"/>
                <w:szCs w:val="20"/>
              </w:rPr>
            </w:pPr>
            <w:r w:rsidRPr="00B64092">
              <w:rPr>
                <w:rFonts w:ascii="Arial" w:eastAsiaTheme="minorEastAsia" w:hAnsi="Arial" w:cs="Arial"/>
                <w:sz w:val="20"/>
                <w:szCs w:val="20"/>
                <w:lang w:val="en-US"/>
              </w:rPr>
              <w:t>Finazzi G, Barbui T (2007) The treatment of polycythaemia vera: an update in the JAK2 era. Intern Emerg Med 2 (1):13-18.</w:t>
            </w:r>
          </w:p>
          <w:p w:rsidR="004D43CD" w:rsidRPr="00B64092" w:rsidRDefault="004D43CD" w:rsidP="004D43CD">
            <w:pPr>
              <w:spacing w:after="160" w:line="259" w:lineRule="auto"/>
              <w:rPr>
                <w:rFonts w:ascii="Arial" w:hAnsi="Arial" w:cs="Arial"/>
                <w:sz w:val="20"/>
                <w:szCs w:val="20"/>
              </w:rPr>
            </w:pPr>
            <w:r w:rsidRPr="00B64092">
              <w:rPr>
                <w:rFonts w:ascii="Arial" w:eastAsiaTheme="minorEastAsia" w:hAnsi="Arial" w:cs="Arial"/>
                <w:sz w:val="20"/>
                <w:szCs w:val="20"/>
                <w:lang w:val="en-US"/>
              </w:rPr>
              <w:t>Griesshammer M, Passamonti F, Durrant S, Kiladjian JJ, Verstovsek S et al. (2015) Ruxolitinib provides consistent hematocrit control in patients with polycythemia vera (PV) resistant to or intolerant of hydroxyurea. (#P670) 20th Annual European Hematology Association Congress. Vienna, Austria. June 11-14, 2015.</w:t>
            </w:r>
          </w:p>
          <w:p w:rsidR="004D43CD" w:rsidRPr="00B64092" w:rsidRDefault="004D43CD" w:rsidP="004D43CD">
            <w:pPr>
              <w:spacing w:after="160" w:line="259" w:lineRule="auto"/>
              <w:rPr>
                <w:rFonts w:ascii="Arial" w:hAnsi="Arial" w:cs="Arial"/>
                <w:sz w:val="20"/>
                <w:szCs w:val="20"/>
              </w:rPr>
            </w:pPr>
            <w:r w:rsidRPr="00B64092">
              <w:rPr>
                <w:rFonts w:ascii="Arial" w:eastAsiaTheme="minorEastAsia" w:hAnsi="Arial" w:cs="Arial"/>
                <w:sz w:val="20"/>
                <w:szCs w:val="20"/>
                <w:lang w:val="en-US"/>
              </w:rPr>
              <w:t>Kiladjian JJ, Chevret S, Dosquet C, Chomienne C, Rain JD (2011) Treatment of polycythemia vera with hydroxyurea and pipobroman: final results of a randomized trial initiated in 1980. J Clin Oncol 29 (29):3907-3913.</w:t>
            </w:r>
          </w:p>
          <w:p w:rsidR="00DB121E" w:rsidRDefault="004D43CD" w:rsidP="00D251B7">
            <w:pPr>
              <w:spacing w:after="160" w:line="259" w:lineRule="auto"/>
              <w:rPr>
                <w:rFonts w:ascii="Arial" w:hAnsi="Arial" w:cs="Arial"/>
                <w:b/>
                <w:bCs/>
                <w:i/>
                <w:sz w:val="20"/>
              </w:rPr>
            </w:pPr>
            <w:r w:rsidRPr="00B64092">
              <w:rPr>
                <w:rFonts w:ascii="Arial" w:eastAsiaTheme="minorEastAsia" w:hAnsi="Arial" w:cs="Arial"/>
                <w:sz w:val="20"/>
                <w:szCs w:val="20"/>
                <w:lang w:val="en-US"/>
              </w:rPr>
              <w:t>Levine RL, Pardanani A, Tefferi A, Gilliland DG (2007) Role of JAK2 in the pathogenesis and therapy of myeloproliferative disorders. Nat Rev Cancer 7 (9):673-683.</w:t>
            </w:r>
          </w:p>
        </w:tc>
      </w:tr>
    </w:tbl>
    <w:p w:rsidR="00B526FD" w:rsidRPr="00901FDF" w:rsidRDefault="00B526FD" w:rsidP="00901FDF">
      <w:pPr>
        <w:pStyle w:val="BodyText"/>
        <w:rPr>
          <w:rFonts w:ascii="Arial" w:hAnsi="Arial" w:cs="Arial"/>
          <w:sz w:val="20"/>
        </w:rPr>
      </w:pPr>
    </w:p>
    <w:sectPr w:rsidR="00B526FD" w:rsidRPr="00901FDF" w:rsidSect="00AC535C">
      <w:type w:val="continuous"/>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6EA" w:rsidRDefault="000946EA">
      <w:r>
        <w:separator/>
      </w:r>
    </w:p>
  </w:endnote>
  <w:endnote w:type="continuationSeparator" w:id="0">
    <w:p w:rsidR="000946EA" w:rsidRDefault="00094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altName w:val="Arial"/>
    <w:panose1 w:val="020B0604020202020204"/>
    <w:charset w:val="EE"/>
    <w:family w:val="swiss"/>
    <w:pitch w:val="variable"/>
    <w:sig w:usb0="E0002AFF" w:usb1="C0007843" w:usb2="00000009" w:usb3="00000000" w:csb0="000001FF" w:csb1="00000000"/>
  </w:font>
  <w:font w:name="Calibri">
    <w:altName w:val="Century Gothic"/>
    <w:panose1 w:val="020F0502020204030204"/>
    <w:charset w:val="EE"/>
    <w:family w:val="swiss"/>
    <w:pitch w:val="variable"/>
    <w:sig w:usb0="E00002FF" w:usb1="4000ACFF" w:usb2="00000001" w:usb3="00000000" w:csb0="0000019F" w:csb1="00000000"/>
  </w:font>
  <w:font w:name="Courier New">
    <w:altName w:val="Courier New"/>
    <w:panose1 w:val="02070309020205020404"/>
    <w:charset w:val="EE"/>
    <w:family w:val="modern"/>
    <w:pitch w:val="fixed"/>
    <w:sig w:usb0="E0002AFF" w:usb1="C0007843" w:usb2="00000009" w:usb3="00000000" w:csb0="000001FF" w:csb1="00000000"/>
  </w:font>
  <w:font w:name="Times New Roman">
    <w:altName w:val="Times New Roman"/>
    <w:panose1 w:val="02020603050405020304"/>
    <w:charset w:val="EE"/>
    <w:family w:val="roman"/>
    <w:pitch w:val="variable"/>
    <w:sig w:usb0="E0002AFF" w:usb1="C0007841"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Tahoma">
    <w:altName w:val="Tahoma"/>
    <w:panose1 w:val="020B0604030504040204"/>
    <w:charset w:val="EE"/>
    <w:family w:val="swiss"/>
    <w:pitch w:val="variable"/>
    <w:sig w:usb0="E1002EFF" w:usb1="C000605B" w:usb2="00000029" w:usb3="00000000" w:csb0="000101FF" w:csb1="00000000"/>
  </w:font>
  <w:font w:name="Cambria Math">
    <w:altName w:val="Times New Roman"/>
    <w:panose1 w:val="02040503050406030204"/>
    <w:charset w:val="EE"/>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6CF" w:rsidRDefault="00B476CF" w:rsidP="00810F7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B476CF" w:rsidRDefault="00B476CF" w:rsidP="003D459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6CF" w:rsidRDefault="00B476CF" w:rsidP="00810F7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70E15">
      <w:rPr>
        <w:rStyle w:val="PageNumber"/>
        <w:noProof/>
      </w:rPr>
      <w:t>3</w:t>
    </w:r>
    <w:r>
      <w:rPr>
        <w:rStyle w:val="PageNumber"/>
      </w:rPr>
      <w:fldChar w:fldCharType="end"/>
    </w:r>
  </w:p>
  <w:p w:rsidR="00B476CF" w:rsidRDefault="00B476CF" w:rsidP="003D4593">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6EA" w:rsidRDefault="000946EA">
      <w:r>
        <w:separator/>
      </w:r>
    </w:p>
  </w:footnote>
  <w:footnote w:type="continuationSeparator" w:id="0">
    <w:p w:rsidR="000946EA" w:rsidRDefault="000946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01AAB"/>
    <w:multiLevelType w:val="hybridMultilevel"/>
    <w:tmpl w:val="9F76FACC"/>
    <w:lvl w:ilvl="0" w:tplc="0BFCFD6C">
      <w:start w:val="51"/>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nsid w:val="115635E9"/>
    <w:multiLevelType w:val="hybridMultilevel"/>
    <w:tmpl w:val="BF361B30"/>
    <w:lvl w:ilvl="0" w:tplc="041B0017">
      <w:start w:val="1"/>
      <w:numFmt w:val="lowerLetter"/>
      <w:lvlText w:val="%1)"/>
      <w:lvlJc w:val="left"/>
      <w:pPr>
        <w:tabs>
          <w:tab w:val="num" w:pos="720"/>
        </w:tabs>
        <w:ind w:left="720" w:hanging="360"/>
      </w:pPr>
      <w:rPr>
        <w:rFonts w:hint="default"/>
      </w:rPr>
    </w:lvl>
    <w:lvl w:ilvl="1" w:tplc="041B0019">
      <w:start w:val="1"/>
      <w:numFmt w:val="lowerLetter"/>
      <w:lvlText w:val="%2."/>
      <w:lvlJc w:val="left"/>
      <w:pPr>
        <w:tabs>
          <w:tab w:val="num" w:pos="1440"/>
        </w:tabs>
        <w:ind w:left="1440" w:hanging="360"/>
      </w:pPr>
    </w:lvl>
    <w:lvl w:ilvl="2" w:tplc="041B001B">
      <w:start w:val="1"/>
      <w:numFmt w:val="lowerRoman"/>
      <w:lvlText w:val="%3."/>
      <w:lvlJc w:val="right"/>
      <w:pPr>
        <w:tabs>
          <w:tab w:val="num" w:pos="2160"/>
        </w:tabs>
        <w:ind w:left="2160" w:hanging="180"/>
      </w:pPr>
    </w:lvl>
    <w:lvl w:ilvl="3" w:tplc="041B000F">
      <w:start w:val="1"/>
      <w:numFmt w:val="decimal"/>
      <w:lvlText w:val="%4."/>
      <w:lvlJc w:val="left"/>
      <w:pPr>
        <w:tabs>
          <w:tab w:val="num" w:pos="2880"/>
        </w:tabs>
        <w:ind w:left="2880" w:hanging="360"/>
      </w:pPr>
    </w:lvl>
    <w:lvl w:ilvl="4" w:tplc="041B0019">
      <w:start w:val="1"/>
      <w:numFmt w:val="lowerLetter"/>
      <w:lvlText w:val="%5."/>
      <w:lvlJc w:val="left"/>
      <w:pPr>
        <w:tabs>
          <w:tab w:val="num" w:pos="3600"/>
        </w:tabs>
        <w:ind w:left="3600" w:hanging="360"/>
      </w:pPr>
    </w:lvl>
    <w:lvl w:ilvl="5" w:tplc="041B001B">
      <w:start w:val="1"/>
      <w:numFmt w:val="lowerRoman"/>
      <w:lvlText w:val="%6."/>
      <w:lvlJc w:val="right"/>
      <w:pPr>
        <w:tabs>
          <w:tab w:val="num" w:pos="4320"/>
        </w:tabs>
        <w:ind w:left="4320" w:hanging="180"/>
      </w:pPr>
    </w:lvl>
    <w:lvl w:ilvl="6" w:tplc="041B000F">
      <w:start w:val="1"/>
      <w:numFmt w:val="decimal"/>
      <w:lvlText w:val="%7."/>
      <w:lvlJc w:val="left"/>
      <w:pPr>
        <w:tabs>
          <w:tab w:val="num" w:pos="5040"/>
        </w:tabs>
        <w:ind w:left="5040" w:hanging="360"/>
      </w:pPr>
    </w:lvl>
    <w:lvl w:ilvl="7" w:tplc="041B0019">
      <w:start w:val="1"/>
      <w:numFmt w:val="lowerLetter"/>
      <w:lvlText w:val="%8."/>
      <w:lvlJc w:val="left"/>
      <w:pPr>
        <w:tabs>
          <w:tab w:val="num" w:pos="5760"/>
        </w:tabs>
        <w:ind w:left="5760" w:hanging="360"/>
      </w:pPr>
    </w:lvl>
    <w:lvl w:ilvl="8" w:tplc="041B001B">
      <w:start w:val="1"/>
      <w:numFmt w:val="lowerRoman"/>
      <w:lvlText w:val="%9."/>
      <w:lvlJc w:val="right"/>
      <w:pPr>
        <w:tabs>
          <w:tab w:val="num" w:pos="6480"/>
        </w:tabs>
        <w:ind w:left="6480" w:hanging="180"/>
      </w:pPr>
    </w:lvl>
  </w:abstractNum>
  <w:abstractNum w:abstractNumId="2">
    <w:nsid w:val="12895373"/>
    <w:multiLevelType w:val="hybridMultilevel"/>
    <w:tmpl w:val="CDCEF8CA"/>
    <w:lvl w:ilvl="0" w:tplc="EAC2AEC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C5E6D44"/>
    <w:multiLevelType w:val="hybridMultilevel"/>
    <w:tmpl w:val="52805F80"/>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nsid w:val="1E7232A8"/>
    <w:multiLevelType w:val="hybridMultilevel"/>
    <w:tmpl w:val="3386F0D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nsid w:val="31F40EA0"/>
    <w:multiLevelType w:val="hybridMultilevel"/>
    <w:tmpl w:val="03F6659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nsid w:val="393C67C5"/>
    <w:multiLevelType w:val="hybridMultilevel"/>
    <w:tmpl w:val="90DE37D0"/>
    <w:lvl w:ilvl="0" w:tplc="91C0DA7E">
      <w:start w:val="1"/>
      <w:numFmt w:val="lowerLetter"/>
      <w:lvlText w:val="%1)"/>
      <w:lvlJc w:val="left"/>
      <w:pPr>
        <w:ind w:left="720" w:hanging="360"/>
      </w:pPr>
      <w:rPr>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4E254FF"/>
    <w:multiLevelType w:val="hybridMultilevel"/>
    <w:tmpl w:val="E74E39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D742E97"/>
    <w:multiLevelType w:val="hybridMultilevel"/>
    <w:tmpl w:val="B5C000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51943C0"/>
    <w:multiLevelType w:val="hybridMultilevel"/>
    <w:tmpl w:val="03F6659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0"/>
  </w:num>
  <w:num w:numId="2">
    <w:abstractNumId w:val="5"/>
  </w:num>
  <w:num w:numId="3">
    <w:abstractNumId w:val="4"/>
  </w:num>
  <w:num w:numId="4">
    <w:abstractNumId w:val="3"/>
  </w:num>
  <w:num w:numId="5">
    <w:abstractNumId w:val="9"/>
  </w:num>
  <w:num w:numId="6">
    <w:abstractNumId w:val="8"/>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7"/>
  </w:num>
  <w:num w:numId="10">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etterCopy" w:val=" "/>
    <w:docVar w:name="LetterNaVedomie" w:val=" "/>
  </w:docVars>
  <w:rsids>
    <w:rsidRoot w:val="00FB4007"/>
    <w:rsid w:val="000004CA"/>
    <w:rsid w:val="000007CE"/>
    <w:rsid w:val="00006B17"/>
    <w:rsid w:val="00015483"/>
    <w:rsid w:val="00016879"/>
    <w:rsid w:val="00021063"/>
    <w:rsid w:val="00025FE7"/>
    <w:rsid w:val="00027014"/>
    <w:rsid w:val="0003109B"/>
    <w:rsid w:val="000337C1"/>
    <w:rsid w:val="00041464"/>
    <w:rsid w:val="00044FCC"/>
    <w:rsid w:val="00046924"/>
    <w:rsid w:val="00053BE9"/>
    <w:rsid w:val="00056741"/>
    <w:rsid w:val="00056F8C"/>
    <w:rsid w:val="00064EE4"/>
    <w:rsid w:val="00066EFB"/>
    <w:rsid w:val="000707BB"/>
    <w:rsid w:val="00070A83"/>
    <w:rsid w:val="000877BF"/>
    <w:rsid w:val="00087F9D"/>
    <w:rsid w:val="00091146"/>
    <w:rsid w:val="00093006"/>
    <w:rsid w:val="000934AD"/>
    <w:rsid w:val="0009368F"/>
    <w:rsid w:val="000946EA"/>
    <w:rsid w:val="000A0FE9"/>
    <w:rsid w:val="000A2811"/>
    <w:rsid w:val="000A3027"/>
    <w:rsid w:val="000B0C1C"/>
    <w:rsid w:val="000B1A3A"/>
    <w:rsid w:val="000C0F1D"/>
    <w:rsid w:val="000C6764"/>
    <w:rsid w:val="000D08CE"/>
    <w:rsid w:val="000D47A8"/>
    <w:rsid w:val="000D4A24"/>
    <w:rsid w:val="000E350E"/>
    <w:rsid w:val="000F101E"/>
    <w:rsid w:val="001004B1"/>
    <w:rsid w:val="001004BC"/>
    <w:rsid w:val="0010120E"/>
    <w:rsid w:val="00101FC7"/>
    <w:rsid w:val="001057E2"/>
    <w:rsid w:val="001068C9"/>
    <w:rsid w:val="00107990"/>
    <w:rsid w:val="001120CE"/>
    <w:rsid w:val="00115E2D"/>
    <w:rsid w:val="00115F1D"/>
    <w:rsid w:val="0011762C"/>
    <w:rsid w:val="0012010C"/>
    <w:rsid w:val="00122258"/>
    <w:rsid w:val="00122A54"/>
    <w:rsid w:val="001243FF"/>
    <w:rsid w:val="0012485D"/>
    <w:rsid w:val="00125BC7"/>
    <w:rsid w:val="00130A4C"/>
    <w:rsid w:val="00132E74"/>
    <w:rsid w:val="00135766"/>
    <w:rsid w:val="00141E4A"/>
    <w:rsid w:val="00145148"/>
    <w:rsid w:val="001468C3"/>
    <w:rsid w:val="0015107B"/>
    <w:rsid w:val="00151404"/>
    <w:rsid w:val="00151CEE"/>
    <w:rsid w:val="001562E3"/>
    <w:rsid w:val="00160DCC"/>
    <w:rsid w:val="001623F7"/>
    <w:rsid w:val="001638DC"/>
    <w:rsid w:val="00164B6D"/>
    <w:rsid w:val="00165AE4"/>
    <w:rsid w:val="00165EDE"/>
    <w:rsid w:val="00172B38"/>
    <w:rsid w:val="00175E4A"/>
    <w:rsid w:val="00177C5B"/>
    <w:rsid w:val="00180C4A"/>
    <w:rsid w:val="00181FDF"/>
    <w:rsid w:val="0018790C"/>
    <w:rsid w:val="001908BF"/>
    <w:rsid w:val="001A069A"/>
    <w:rsid w:val="001A1212"/>
    <w:rsid w:val="001A3B7E"/>
    <w:rsid w:val="001A4501"/>
    <w:rsid w:val="001A5F48"/>
    <w:rsid w:val="001A6080"/>
    <w:rsid w:val="001A717B"/>
    <w:rsid w:val="001B0831"/>
    <w:rsid w:val="001B0BDC"/>
    <w:rsid w:val="001B11C7"/>
    <w:rsid w:val="001B1EDA"/>
    <w:rsid w:val="001B6484"/>
    <w:rsid w:val="001C3D39"/>
    <w:rsid w:val="001C716D"/>
    <w:rsid w:val="001D6426"/>
    <w:rsid w:val="001D7591"/>
    <w:rsid w:val="001E1D8A"/>
    <w:rsid w:val="001E2C4A"/>
    <w:rsid w:val="001E6A20"/>
    <w:rsid w:val="00210A32"/>
    <w:rsid w:val="00220F88"/>
    <w:rsid w:val="00222337"/>
    <w:rsid w:val="00225C48"/>
    <w:rsid w:val="00226BE5"/>
    <w:rsid w:val="00233BA5"/>
    <w:rsid w:val="00242A93"/>
    <w:rsid w:val="002453B5"/>
    <w:rsid w:val="002473FC"/>
    <w:rsid w:val="002549DD"/>
    <w:rsid w:val="00255C3A"/>
    <w:rsid w:val="00256ACC"/>
    <w:rsid w:val="00256DE2"/>
    <w:rsid w:val="002624E1"/>
    <w:rsid w:val="00263B41"/>
    <w:rsid w:val="0026653E"/>
    <w:rsid w:val="002746D3"/>
    <w:rsid w:val="00274AEC"/>
    <w:rsid w:val="00281732"/>
    <w:rsid w:val="00286CEF"/>
    <w:rsid w:val="002947C9"/>
    <w:rsid w:val="00294CD2"/>
    <w:rsid w:val="002A6E43"/>
    <w:rsid w:val="002B3574"/>
    <w:rsid w:val="002B60B1"/>
    <w:rsid w:val="002B7D90"/>
    <w:rsid w:val="002C1C87"/>
    <w:rsid w:val="002C234A"/>
    <w:rsid w:val="002C660E"/>
    <w:rsid w:val="002C7758"/>
    <w:rsid w:val="002D0880"/>
    <w:rsid w:val="002D1044"/>
    <w:rsid w:val="002D6BFD"/>
    <w:rsid w:val="002D6DCD"/>
    <w:rsid w:val="002E19AF"/>
    <w:rsid w:val="002E4410"/>
    <w:rsid w:val="002E49B5"/>
    <w:rsid w:val="002E5E9B"/>
    <w:rsid w:val="002E6A26"/>
    <w:rsid w:val="002F61FB"/>
    <w:rsid w:val="003108FE"/>
    <w:rsid w:val="00315CA6"/>
    <w:rsid w:val="00320A04"/>
    <w:rsid w:val="00324D91"/>
    <w:rsid w:val="00327C73"/>
    <w:rsid w:val="00342C59"/>
    <w:rsid w:val="00346A62"/>
    <w:rsid w:val="0035344D"/>
    <w:rsid w:val="00354F5E"/>
    <w:rsid w:val="00356026"/>
    <w:rsid w:val="0035652F"/>
    <w:rsid w:val="003576D3"/>
    <w:rsid w:val="00357922"/>
    <w:rsid w:val="0037637C"/>
    <w:rsid w:val="0038058A"/>
    <w:rsid w:val="003807FA"/>
    <w:rsid w:val="003831CA"/>
    <w:rsid w:val="003870F6"/>
    <w:rsid w:val="0038772C"/>
    <w:rsid w:val="00390DBF"/>
    <w:rsid w:val="00397AF3"/>
    <w:rsid w:val="003A1332"/>
    <w:rsid w:val="003A1DFB"/>
    <w:rsid w:val="003A1F97"/>
    <w:rsid w:val="003A6455"/>
    <w:rsid w:val="003B1363"/>
    <w:rsid w:val="003B67D6"/>
    <w:rsid w:val="003C2350"/>
    <w:rsid w:val="003C5F7B"/>
    <w:rsid w:val="003D0025"/>
    <w:rsid w:val="003D11CC"/>
    <w:rsid w:val="003D2DC1"/>
    <w:rsid w:val="003D3881"/>
    <w:rsid w:val="003D4593"/>
    <w:rsid w:val="003D6997"/>
    <w:rsid w:val="003D6EA4"/>
    <w:rsid w:val="003E1981"/>
    <w:rsid w:val="003E7AFB"/>
    <w:rsid w:val="003F5CCC"/>
    <w:rsid w:val="00401E88"/>
    <w:rsid w:val="00404548"/>
    <w:rsid w:val="00404A21"/>
    <w:rsid w:val="00404D0C"/>
    <w:rsid w:val="00405B84"/>
    <w:rsid w:val="00406335"/>
    <w:rsid w:val="004063CC"/>
    <w:rsid w:val="00407D7E"/>
    <w:rsid w:val="00411D58"/>
    <w:rsid w:val="00415674"/>
    <w:rsid w:val="00421DAA"/>
    <w:rsid w:val="004267D2"/>
    <w:rsid w:val="00430000"/>
    <w:rsid w:val="00430E81"/>
    <w:rsid w:val="0043293B"/>
    <w:rsid w:val="004367F0"/>
    <w:rsid w:val="00440A6A"/>
    <w:rsid w:val="00442824"/>
    <w:rsid w:val="00450539"/>
    <w:rsid w:val="00450653"/>
    <w:rsid w:val="0045174A"/>
    <w:rsid w:val="004539EC"/>
    <w:rsid w:val="00455462"/>
    <w:rsid w:val="00456963"/>
    <w:rsid w:val="004577CD"/>
    <w:rsid w:val="0046035E"/>
    <w:rsid w:val="00462E73"/>
    <w:rsid w:val="004677BF"/>
    <w:rsid w:val="00472695"/>
    <w:rsid w:val="00475D8C"/>
    <w:rsid w:val="00480605"/>
    <w:rsid w:val="004820F5"/>
    <w:rsid w:val="0048490F"/>
    <w:rsid w:val="00485757"/>
    <w:rsid w:val="00491ACF"/>
    <w:rsid w:val="00496BE4"/>
    <w:rsid w:val="00497EDF"/>
    <w:rsid w:val="004A32E3"/>
    <w:rsid w:val="004A3DDA"/>
    <w:rsid w:val="004A517F"/>
    <w:rsid w:val="004B0FAE"/>
    <w:rsid w:val="004B7029"/>
    <w:rsid w:val="004C16D9"/>
    <w:rsid w:val="004C2BDE"/>
    <w:rsid w:val="004C2C28"/>
    <w:rsid w:val="004C3785"/>
    <w:rsid w:val="004D22E7"/>
    <w:rsid w:val="004D43CD"/>
    <w:rsid w:val="004D6CF8"/>
    <w:rsid w:val="004E0AF2"/>
    <w:rsid w:val="004E2A6F"/>
    <w:rsid w:val="004E4B24"/>
    <w:rsid w:val="004E58AB"/>
    <w:rsid w:val="004F2714"/>
    <w:rsid w:val="004F3F2B"/>
    <w:rsid w:val="00505607"/>
    <w:rsid w:val="00507073"/>
    <w:rsid w:val="00507336"/>
    <w:rsid w:val="00507919"/>
    <w:rsid w:val="0051026B"/>
    <w:rsid w:val="00514A04"/>
    <w:rsid w:val="00514DD3"/>
    <w:rsid w:val="0052036C"/>
    <w:rsid w:val="0052219C"/>
    <w:rsid w:val="00526C26"/>
    <w:rsid w:val="0053115D"/>
    <w:rsid w:val="00531750"/>
    <w:rsid w:val="00532783"/>
    <w:rsid w:val="00535E8B"/>
    <w:rsid w:val="005367E3"/>
    <w:rsid w:val="00536F0F"/>
    <w:rsid w:val="00537A27"/>
    <w:rsid w:val="00555491"/>
    <w:rsid w:val="0055573F"/>
    <w:rsid w:val="00555FAD"/>
    <w:rsid w:val="00561020"/>
    <w:rsid w:val="0056175A"/>
    <w:rsid w:val="00566C9F"/>
    <w:rsid w:val="00590430"/>
    <w:rsid w:val="005943E7"/>
    <w:rsid w:val="005962C7"/>
    <w:rsid w:val="00597971"/>
    <w:rsid w:val="005A0E30"/>
    <w:rsid w:val="005A2AC8"/>
    <w:rsid w:val="005A2EF2"/>
    <w:rsid w:val="005A421E"/>
    <w:rsid w:val="005A55D3"/>
    <w:rsid w:val="005B3A54"/>
    <w:rsid w:val="005B5675"/>
    <w:rsid w:val="005B6604"/>
    <w:rsid w:val="005B7B79"/>
    <w:rsid w:val="005C63EB"/>
    <w:rsid w:val="005C73C1"/>
    <w:rsid w:val="005D67B1"/>
    <w:rsid w:val="005D6C48"/>
    <w:rsid w:val="005E113B"/>
    <w:rsid w:val="005E3329"/>
    <w:rsid w:val="005E6CAF"/>
    <w:rsid w:val="005E7100"/>
    <w:rsid w:val="005F185E"/>
    <w:rsid w:val="005F2A4E"/>
    <w:rsid w:val="005F72FD"/>
    <w:rsid w:val="006014DC"/>
    <w:rsid w:val="00601D31"/>
    <w:rsid w:val="0060307E"/>
    <w:rsid w:val="00611BB6"/>
    <w:rsid w:val="00611BDE"/>
    <w:rsid w:val="006132B7"/>
    <w:rsid w:val="00614AEE"/>
    <w:rsid w:val="00617189"/>
    <w:rsid w:val="006215AF"/>
    <w:rsid w:val="0062568C"/>
    <w:rsid w:val="0063113F"/>
    <w:rsid w:val="0063185A"/>
    <w:rsid w:val="00632D47"/>
    <w:rsid w:val="006377AC"/>
    <w:rsid w:val="0064117E"/>
    <w:rsid w:val="00641347"/>
    <w:rsid w:val="00647F41"/>
    <w:rsid w:val="00654127"/>
    <w:rsid w:val="00654683"/>
    <w:rsid w:val="00654AE2"/>
    <w:rsid w:val="00660960"/>
    <w:rsid w:val="00662A9D"/>
    <w:rsid w:val="006650A9"/>
    <w:rsid w:val="006657B7"/>
    <w:rsid w:val="00665B2A"/>
    <w:rsid w:val="006707EE"/>
    <w:rsid w:val="00670E15"/>
    <w:rsid w:val="00671E3A"/>
    <w:rsid w:val="00672F87"/>
    <w:rsid w:val="00673D6C"/>
    <w:rsid w:val="006777D6"/>
    <w:rsid w:val="00681311"/>
    <w:rsid w:val="006820D5"/>
    <w:rsid w:val="00693547"/>
    <w:rsid w:val="00695C25"/>
    <w:rsid w:val="00697C77"/>
    <w:rsid w:val="006A2BA0"/>
    <w:rsid w:val="006A7A1C"/>
    <w:rsid w:val="006B3051"/>
    <w:rsid w:val="006B67BC"/>
    <w:rsid w:val="006B698E"/>
    <w:rsid w:val="006B7280"/>
    <w:rsid w:val="006C0E6D"/>
    <w:rsid w:val="006C1541"/>
    <w:rsid w:val="006C2257"/>
    <w:rsid w:val="006C4719"/>
    <w:rsid w:val="006D6E19"/>
    <w:rsid w:val="006E5AA5"/>
    <w:rsid w:val="006E6F7F"/>
    <w:rsid w:val="006E736B"/>
    <w:rsid w:val="006F01C7"/>
    <w:rsid w:val="006F0B4D"/>
    <w:rsid w:val="006F206C"/>
    <w:rsid w:val="006F2B34"/>
    <w:rsid w:val="006F3BDB"/>
    <w:rsid w:val="006F3CD1"/>
    <w:rsid w:val="006F4AE4"/>
    <w:rsid w:val="006F53EB"/>
    <w:rsid w:val="006F7134"/>
    <w:rsid w:val="00703773"/>
    <w:rsid w:val="00703A8E"/>
    <w:rsid w:val="00704E72"/>
    <w:rsid w:val="00715DA7"/>
    <w:rsid w:val="00721B14"/>
    <w:rsid w:val="007223DD"/>
    <w:rsid w:val="0072335D"/>
    <w:rsid w:val="00724832"/>
    <w:rsid w:val="007262BE"/>
    <w:rsid w:val="0072661E"/>
    <w:rsid w:val="00733D89"/>
    <w:rsid w:val="00733F64"/>
    <w:rsid w:val="00734ED2"/>
    <w:rsid w:val="007359D9"/>
    <w:rsid w:val="0073742D"/>
    <w:rsid w:val="007421FF"/>
    <w:rsid w:val="0074587D"/>
    <w:rsid w:val="00745E4B"/>
    <w:rsid w:val="0074681E"/>
    <w:rsid w:val="007504E5"/>
    <w:rsid w:val="00756A2E"/>
    <w:rsid w:val="00757316"/>
    <w:rsid w:val="0076042F"/>
    <w:rsid w:val="00760D2E"/>
    <w:rsid w:val="007633A9"/>
    <w:rsid w:val="007659EC"/>
    <w:rsid w:val="00765B6A"/>
    <w:rsid w:val="00772478"/>
    <w:rsid w:val="00776432"/>
    <w:rsid w:val="00777571"/>
    <w:rsid w:val="00780866"/>
    <w:rsid w:val="00780888"/>
    <w:rsid w:val="00781803"/>
    <w:rsid w:val="007844E9"/>
    <w:rsid w:val="007902EE"/>
    <w:rsid w:val="007917BF"/>
    <w:rsid w:val="007925C9"/>
    <w:rsid w:val="0079773C"/>
    <w:rsid w:val="007A1D3C"/>
    <w:rsid w:val="007A689A"/>
    <w:rsid w:val="007A6B93"/>
    <w:rsid w:val="007B2D52"/>
    <w:rsid w:val="007B37A7"/>
    <w:rsid w:val="007B43C2"/>
    <w:rsid w:val="007B44C5"/>
    <w:rsid w:val="007B7686"/>
    <w:rsid w:val="007C42A9"/>
    <w:rsid w:val="007C598F"/>
    <w:rsid w:val="007D1DA8"/>
    <w:rsid w:val="007D53D2"/>
    <w:rsid w:val="007D5C42"/>
    <w:rsid w:val="007E12C6"/>
    <w:rsid w:val="007F1690"/>
    <w:rsid w:val="007F3289"/>
    <w:rsid w:val="007F7C6C"/>
    <w:rsid w:val="00803959"/>
    <w:rsid w:val="008068E6"/>
    <w:rsid w:val="00810F7D"/>
    <w:rsid w:val="00822116"/>
    <w:rsid w:val="008247DE"/>
    <w:rsid w:val="00826870"/>
    <w:rsid w:val="008317BB"/>
    <w:rsid w:val="0083184B"/>
    <w:rsid w:val="008324E5"/>
    <w:rsid w:val="008335C8"/>
    <w:rsid w:val="00833C3F"/>
    <w:rsid w:val="008366E9"/>
    <w:rsid w:val="008374DF"/>
    <w:rsid w:val="008456B2"/>
    <w:rsid w:val="00845B05"/>
    <w:rsid w:val="0084667E"/>
    <w:rsid w:val="00850BAF"/>
    <w:rsid w:val="00853583"/>
    <w:rsid w:val="00857163"/>
    <w:rsid w:val="00862EAD"/>
    <w:rsid w:val="00864814"/>
    <w:rsid w:val="00866ADC"/>
    <w:rsid w:val="0087213D"/>
    <w:rsid w:val="00873520"/>
    <w:rsid w:val="00884B29"/>
    <w:rsid w:val="008916AF"/>
    <w:rsid w:val="008928AF"/>
    <w:rsid w:val="00895A85"/>
    <w:rsid w:val="0089678E"/>
    <w:rsid w:val="008A03A8"/>
    <w:rsid w:val="008A05D9"/>
    <w:rsid w:val="008A257A"/>
    <w:rsid w:val="008A3B32"/>
    <w:rsid w:val="008A59EB"/>
    <w:rsid w:val="008A784F"/>
    <w:rsid w:val="008B00D7"/>
    <w:rsid w:val="008B05EB"/>
    <w:rsid w:val="008B24F7"/>
    <w:rsid w:val="008B36C4"/>
    <w:rsid w:val="008B50F4"/>
    <w:rsid w:val="008B6418"/>
    <w:rsid w:val="008B7C71"/>
    <w:rsid w:val="008C0281"/>
    <w:rsid w:val="008D23C8"/>
    <w:rsid w:val="008D2E15"/>
    <w:rsid w:val="008D6C70"/>
    <w:rsid w:val="008E6FCA"/>
    <w:rsid w:val="008F0D46"/>
    <w:rsid w:val="008F1350"/>
    <w:rsid w:val="008F397C"/>
    <w:rsid w:val="008F3B13"/>
    <w:rsid w:val="008F54A4"/>
    <w:rsid w:val="008F5D1C"/>
    <w:rsid w:val="00901FDF"/>
    <w:rsid w:val="00904393"/>
    <w:rsid w:val="00910065"/>
    <w:rsid w:val="009101FC"/>
    <w:rsid w:val="0091093E"/>
    <w:rsid w:val="00916CDD"/>
    <w:rsid w:val="009171F6"/>
    <w:rsid w:val="00917855"/>
    <w:rsid w:val="00921DDD"/>
    <w:rsid w:val="00924C21"/>
    <w:rsid w:val="00924C81"/>
    <w:rsid w:val="00925DCB"/>
    <w:rsid w:val="00931BDF"/>
    <w:rsid w:val="00932546"/>
    <w:rsid w:val="0093576F"/>
    <w:rsid w:val="0093714A"/>
    <w:rsid w:val="00940389"/>
    <w:rsid w:val="009414F2"/>
    <w:rsid w:val="0094399A"/>
    <w:rsid w:val="00945652"/>
    <w:rsid w:val="00947242"/>
    <w:rsid w:val="00955A38"/>
    <w:rsid w:val="00962608"/>
    <w:rsid w:val="0097119A"/>
    <w:rsid w:val="00977312"/>
    <w:rsid w:val="0098197F"/>
    <w:rsid w:val="00985581"/>
    <w:rsid w:val="00986364"/>
    <w:rsid w:val="009865C7"/>
    <w:rsid w:val="0099290C"/>
    <w:rsid w:val="00994675"/>
    <w:rsid w:val="00995B8F"/>
    <w:rsid w:val="00997D68"/>
    <w:rsid w:val="009A2889"/>
    <w:rsid w:val="009A2E2D"/>
    <w:rsid w:val="009A409E"/>
    <w:rsid w:val="009B1EE6"/>
    <w:rsid w:val="009B2161"/>
    <w:rsid w:val="009B2620"/>
    <w:rsid w:val="009B3D3F"/>
    <w:rsid w:val="009B4FD9"/>
    <w:rsid w:val="009B73B1"/>
    <w:rsid w:val="009C0E09"/>
    <w:rsid w:val="009C31D7"/>
    <w:rsid w:val="009C33C2"/>
    <w:rsid w:val="009C6F38"/>
    <w:rsid w:val="009D016F"/>
    <w:rsid w:val="009D3593"/>
    <w:rsid w:val="009D59C7"/>
    <w:rsid w:val="009D607A"/>
    <w:rsid w:val="009E7B60"/>
    <w:rsid w:val="009F091E"/>
    <w:rsid w:val="009F41C2"/>
    <w:rsid w:val="009F4AE7"/>
    <w:rsid w:val="009F4F1E"/>
    <w:rsid w:val="00A013FB"/>
    <w:rsid w:val="00A0330F"/>
    <w:rsid w:val="00A05EA6"/>
    <w:rsid w:val="00A12523"/>
    <w:rsid w:val="00A1351D"/>
    <w:rsid w:val="00A137A0"/>
    <w:rsid w:val="00A16FF0"/>
    <w:rsid w:val="00A21D32"/>
    <w:rsid w:val="00A22A5F"/>
    <w:rsid w:val="00A22F24"/>
    <w:rsid w:val="00A23A29"/>
    <w:rsid w:val="00A31D77"/>
    <w:rsid w:val="00A32844"/>
    <w:rsid w:val="00A328A0"/>
    <w:rsid w:val="00A40EE6"/>
    <w:rsid w:val="00A43043"/>
    <w:rsid w:val="00A46955"/>
    <w:rsid w:val="00A47AD8"/>
    <w:rsid w:val="00A51EC2"/>
    <w:rsid w:val="00A52D1E"/>
    <w:rsid w:val="00A53486"/>
    <w:rsid w:val="00A545AB"/>
    <w:rsid w:val="00A54963"/>
    <w:rsid w:val="00A56597"/>
    <w:rsid w:val="00A67842"/>
    <w:rsid w:val="00A73F3A"/>
    <w:rsid w:val="00A7572C"/>
    <w:rsid w:val="00A83D1D"/>
    <w:rsid w:val="00A900FE"/>
    <w:rsid w:val="00A9082B"/>
    <w:rsid w:val="00A9450B"/>
    <w:rsid w:val="00AA02B7"/>
    <w:rsid w:val="00AA09F8"/>
    <w:rsid w:val="00AB1421"/>
    <w:rsid w:val="00AB7006"/>
    <w:rsid w:val="00AC38DE"/>
    <w:rsid w:val="00AC3D39"/>
    <w:rsid w:val="00AC530E"/>
    <w:rsid w:val="00AC535C"/>
    <w:rsid w:val="00AC6392"/>
    <w:rsid w:val="00AC676C"/>
    <w:rsid w:val="00AC6BCE"/>
    <w:rsid w:val="00AD1B8F"/>
    <w:rsid w:val="00AD2C10"/>
    <w:rsid w:val="00AD6723"/>
    <w:rsid w:val="00AD7257"/>
    <w:rsid w:val="00AE53F8"/>
    <w:rsid w:val="00AE564C"/>
    <w:rsid w:val="00AF084A"/>
    <w:rsid w:val="00AF294A"/>
    <w:rsid w:val="00B021A6"/>
    <w:rsid w:val="00B1060D"/>
    <w:rsid w:val="00B12FB9"/>
    <w:rsid w:val="00B143C1"/>
    <w:rsid w:val="00B15B0A"/>
    <w:rsid w:val="00B16436"/>
    <w:rsid w:val="00B17D4D"/>
    <w:rsid w:val="00B2264B"/>
    <w:rsid w:val="00B2435A"/>
    <w:rsid w:val="00B2611F"/>
    <w:rsid w:val="00B3195A"/>
    <w:rsid w:val="00B31C3F"/>
    <w:rsid w:val="00B33114"/>
    <w:rsid w:val="00B3311E"/>
    <w:rsid w:val="00B37548"/>
    <w:rsid w:val="00B41885"/>
    <w:rsid w:val="00B41A5F"/>
    <w:rsid w:val="00B42BA5"/>
    <w:rsid w:val="00B43489"/>
    <w:rsid w:val="00B43CFF"/>
    <w:rsid w:val="00B43EF1"/>
    <w:rsid w:val="00B459A0"/>
    <w:rsid w:val="00B47215"/>
    <w:rsid w:val="00B476CF"/>
    <w:rsid w:val="00B51D4E"/>
    <w:rsid w:val="00B524AC"/>
    <w:rsid w:val="00B526FD"/>
    <w:rsid w:val="00B53345"/>
    <w:rsid w:val="00B64613"/>
    <w:rsid w:val="00B66289"/>
    <w:rsid w:val="00B67507"/>
    <w:rsid w:val="00B70365"/>
    <w:rsid w:val="00B70467"/>
    <w:rsid w:val="00B73803"/>
    <w:rsid w:val="00B7479C"/>
    <w:rsid w:val="00B74A9F"/>
    <w:rsid w:val="00B85480"/>
    <w:rsid w:val="00B87858"/>
    <w:rsid w:val="00B900CE"/>
    <w:rsid w:val="00B91873"/>
    <w:rsid w:val="00B977ED"/>
    <w:rsid w:val="00BA0575"/>
    <w:rsid w:val="00BA52DD"/>
    <w:rsid w:val="00BA7EAF"/>
    <w:rsid w:val="00BB2B35"/>
    <w:rsid w:val="00BB3A95"/>
    <w:rsid w:val="00BB41C8"/>
    <w:rsid w:val="00BC799D"/>
    <w:rsid w:val="00BD06C3"/>
    <w:rsid w:val="00BE2C7E"/>
    <w:rsid w:val="00BE4961"/>
    <w:rsid w:val="00BE5E93"/>
    <w:rsid w:val="00BE6C64"/>
    <w:rsid w:val="00BF0B48"/>
    <w:rsid w:val="00BF1534"/>
    <w:rsid w:val="00C00642"/>
    <w:rsid w:val="00C02E7B"/>
    <w:rsid w:val="00C030A9"/>
    <w:rsid w:val="00C101AE"/>
    <w:rsid w:val="00C17340"/>
    <w:rsid w:val="00C17929"/>
    <w:rsid w:val="00C20A6B"/>
    <w:rsid w:val="00C20F47"/>
    <w:rsid w:val="00C25D67"/>
    <w:rsid w:val="00C27707"/>
    <w:rsid w:val="00C27E18"/>
    <w:rsid w:val="00C30BB9"/>
    <w:rsid w:val="00C31855"/>
    <w:rsid w:val="00C35B56"/>
    <w:rsid w:val="00C44996"/>
    <w:rsid w:val="00C467C3"/>
    <w:rsid w:val="00C528DB"/>
    <w:rsid w:val="00C53C45"/>
    <w:rsid w:val="00C61211"/>
    <w:rsid w:val="00C6697F"/>
    <w:rsid w:val="00C7136F"/>
    <w:rsid w:val="00C72964"/>
    <w:rsid w:val="00C849DE"/>
    <w:rsid w:val="00C87EF6"/>
    <w:rsid w:val="00C93081"/>
    <w:rsid w:val="00C95653"/>
    <w:rsid w:val="00C962CE"/>
    <w:rsid w:val="00CA41CF"/>
    <w:rsid w:val="00CB6449"/>
    <w:rsid w:val="00CC19ED"/>
    <w:rsid w:val="00CC257A"/>
    <w:rsid w:val="00CC2C07"/>
    <w:rsid w:val="00CC41CE"/>
    <w:rsid w:val="00CC4F61"/>
    <w:rsid w:val="00CD05AC"/>
    <w:rsid w:val="00CD1999"/>
    <w:rsid w:val="00CD3DE4"/>
    <w:rsid w:val="00CD44C8"/>
    <w:rsid w:val="00CF2080"/>
    <w:rsid w:val="00CF2C6A"/>
    <w:rsid w:val="00CF6B0B"/>
    <w:rsid w:val="00D00448"/>
    <w:rsid w:val="00D0777E"/>
    <w:rsid w:val="00D222DF"/>
    <w:rsid w:val="00D24954"/>
    <w:rsid w:val="00D251B7"/>
    <w:rsid w:val="00D2775E"/>
    <w:rsid w:val="00D31A3A"/>
    <w:rsid w:val="00D3276C"/>
    <w:rsid w:val="00D40411"/>
    <w:rsid w:val="00D436DE"/>
    <w:rsid w:val="00D51245"/>
    <w:rsid w:val="00D51E4B"/>
    <w:rsid w:val="00D52CBB"/>
    <w:rsid w:val="00D569A3"/>
    <w:rsid w:val="00D60406"/>
    <w:rsid w:val="00D64362"/>
    <w:rsid w:val="00D662B3"/>
    <w:rsid w:val="00D75DF9"/>
    <w:rsid w:val="00D76B3B"/>
    <w:rsid w:val="00D77258"/>
    <w:rsid w:val="00D810DB"/>
    <w:rsid w:val="00D83DDC"/>
    <w:rsid w:val="00D9099B"/>
    <w:rsid w:val="00D912DE"/>
    <w:rsid w:val="00D977CC"/>
    <w:rsid w:val="00D97EFA"/>
    <w:rsid w:val="00DA2BB4"/>
    <w:rsid w:val="00DA7692"/>
    <w:rsid w:val="00DB121E"/>
    <w:rsid w:val="00DB5F8A"/>
    <w:rsid w:val="00DC17B1"/>
    <w:rsid w:val="00DC19C0"/>
    <w:rsid w:val="00DC1F98"/>
    <w:rsid w:val="00DC28FE"/>
    <w:rsid w:val="00DC356C"/>
    <w:rsid w:val="00DC599D"/>
    <w:rsid w:val="00DC62D9"/>
    <w:rsid w:val="00DD02DB"/>
    <w:rsid w:val="00DD306E"/>
    <w:rsid w:val="00DE34F9"/>
    <w:rsid w:val="00DF74EB"/>
    <w:rsid w:val="00E034FB"/>
    <w:rsid w:val="00E04A62"/>
    <w:rsid w:val="00E068ED"/>
    <w:rsid w:val="00E20DCD"/>
    <w:rsid w:val="00E21B5D"/>
    <w:rsid w:val="00E2323B"/>
    <w:rsid w:val="00E25415"/>
    <w:rsid w:val="00E25B85"/>
    <w:rsid w:val="00E261D5"/>
    <w:rsid w:val="00E268C8"/>
    <w:rsid w:val="00E268E7"/>
    <w:rsid w:val="00E279F3"/>
    <w:rsid w:val="00E3037E"/>
    <w:rsid w:val="00E3092A"/>
    <w:rsid w:val="00E30A11"/>
    <w:rsid w:val="00E31ECE"/>
    <w:rsid w:val="00E32FAD"/>
    <w:rsid w:val="00E35702"/>
    <w:rsid w:val="00E4538B"/>
    <w:rsid w:val="00E46469"/>
    <w:rsid w:val="00E47905"/>
    <w:rsid w:val="00E5319C"/>
    <w:rsid w:val="00E54B5C"/>
    <w:rsid w:val="00E556D9"/>
    <w:rsid w:val="00E5678E"/>
    <w:rsid w:val="00E64C45"/>
    <w:rsid w:val="00E64CFE"/>
    <w:rsid w:val="00E668D0"/>
    <w:rsid w:val="00E70E90"/>
    <w:rsid w:val="00E76A8E"/>
    <w:rsid w:val="00E85B17"/>
    <w:rsid w:val="00E97298"/>
    <w:rsid w:val="00EA23B7"/>
    <w:rsid w:val="00EA5374"/>
    <w:rsid w:val="00EA5536"/>
    <w:rsid w:val="00EA6231"/>
    <w:rsid w:val="00EB46AB"/>
    <w:rsid w:val="00EB5525"/>
    <w:rsid w:val="00EB6217"/>
    <w:rsid w:val="00EB7F08"/>
    <w:rsid w:val="00EC01ED"/>
    <w:rsid w:val="00EC2409"/>
    <w:rsid w:val="00EC36F7"/>
    <w:rsid w:val="00ED04EB"/>
    <w:rsid w:val="00ED21DC"/>
    <w:rsid w:val="00ED5A8B"/>
    <w:rsid w:val="00ED7AB4"/>
    <w:rsid w:val="00EE045A"/>
    <w:rsid w:val="00EE3AC5"/>
    <w:rsid w:val="00EF39AF"/>
    <w:rsid w:val="00EF3EB8"/>
    <w:rsid w:val="00F03B1A"/>
    <w:rsid w:val="00F047FB"/>
    <w:rsid w:val="00F048D8"/>
    <w:rsid w:val="00F15357"/>
    <w:rsid w:val="00F16EF9"/>
    <w:rsid w:val="00F217E3"/>
    <w:rsid w:val="00F236FF"/>
    <w:rsid w:val="00F3138B"/>
    <w:rsid w:val="00F324AE"/>
    <w:rsid w:val="00F3418E"/>
    <w:rsid w:val="00F377FE"/>
    <w:rsid w:val="00F41B75"/>
    <w:rsid w:val="00F4259C"/>
    <w:rsid w:val="00F44D0E"/>
    <w:rsid w:val="00F50039"/>
    <w:rsid w:val="00F54EDC"/>
    <w:rsid w:val="00F564EB"/>
    <w:rsid w:val="00F56F49"/>
    <w:rsid w:val="00F62689"/>
    <w:rsid w:val="00F631AA"/>
    <w:rsid w:val="00F664E5"/>
    <w:rsid w:val="00F737D0"/>
    <w:rsid w:val="00F75CAC"/>
    <w:rsid w:val="00F7648D"/>
    <w:rsid w:val="00F8043A"/>
    <w:rsid w:val="00F8185B"/>
    <w:rsid w:val="00F82ABB"/>
    <w:rsid w:val="00F85504"/>
    <w:rsid w:val="00F871A2"/>
    <w:rsid w:val="00F90235"/>
    <w:rsid w:val="00F95F61"/>
    <w:rsid w:val="00FA7EB2"/>
    <w:rsid w:val="00FB19B4"/>
    <w:rsid w:val="00FB2C8A"/>
    <w:rsid w:val="00FB2D32"/>
    <w:rsid w:val="00FB4007"/>
    <w:rsid w:val="00FB4AFC"/>
    <w:rsid w:val="00FC11DF"/>
    <w:rsid w:val="00FC594C"/>
    <w:rsid w:val="00FC7859"/>
    <w:rsid w:val="00FD2634"/>
    <w:rsid w:val="00FD641B"/>
    <w:rsid w:val="00FD68EA"/>
    <w:rsid w:val="00FD75AA"/>
    <w:rsid w:val="00FE0666"/>
    <w:rsid w:val="00FE5135"/>
    <w:rsid w:val="00FF1E19"/>
  </w:rsids>
  <m:mathPr>
    <m:mathFont m:val="Cambria Math"/>
    <m:brkBin m:val="before"/>
    <m:brkBinSub m:val="--"/>
    <m:smallFrac m:val="0"/>
    <m:dispDef/>
    <m:lMargin m:val="0"/>
    <m:rMargin m:val="0"/>
    <m:defJc m:val="centerGroup"/>
    <m:wrapIndent m:val="1440"/>
    <m:intLim m:val="subSup"/>
    <m:naryLim m:val="undOvr"/>
  </m:mathPr>
  <w:themeFontLang w:val="sk-SK"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k-SK" w:eastAsia="sk-SK"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Body Text"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iPriority="22"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19C"/>
    <w:rPr>
      <w:sz w:val="24"/>
      <w:szCs w:val="24"/>
    </w:rPr>
  </w:style>
  <w:style w:type="paragraph" w:styleId="Heading1">
    <w:name w:val="heading 1"/>
    <w:basedOn w:val="Normal"/>
    <w:next w:val="Normal"/>
    <w:qFormat/>
    <w:rsid w:val="00E5319C"/>
    <w:pPr>
      <w:keepNext/>
      <w:jc w:val="center"/>
      <w:outlineLvl w:val="0"/>
    </w:pPr>
    <w:rPr>
      <w:b/>
    </w:rPr>
  </w:style>
  <w:style w:type="paragraph" w:styleId="Heading3">
    <w:name w:val="heading 3"/>
    <w:basedOn w:val="Normal"/>
    <w:next w:val="Normal"/>
    <w:link w:val="Heading3Char"/>
    <w:semiHidden/>
    <w:unhideWhenUsed/>
    <w:qFormat/>
    <w:rsid w:val="00F3138B"/>
    <w:pPr>
      <w:keepNext/>
      <w:keepLines/>
      <w:spacing w:before="40"/>
      <w:outlineLvl w:val="2"/>
    </w:pPr>
    <w:rPr>
      <w:rFonts w:asciiTheme="majorHAnsi" w:eastAsiaTheme="majorEastAsia" w:hAnsiTheme="majorHAnsi" w:cstheme="majorBidi"/>
      <w:color w:val="243F60" w:themeColor="accent1" w:themeShade="7F"/>
    </w:rPr>
  </w:style>
  <w:style w:type="paragraph" w:styleId="Heading5">
    <w:name w:val="heading 5"/>
    <w:basedOn w:val="Normal"/>
    <w:next w:val="Normal"/>
    <w:link w:val="Heading5Char"/>
    <w:semiHidden/>
    <w:unhideWhenUsed/>
    <w:qFormat/>
    <w:rsid w:val="00F3138B"/>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F3138B"/>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5319C"/>
    <w:rPr>
      <w:color w:val="0000FF"/>
      <w:u w:val="single"/>
    </w:rPr>
  </w:style>
  <w:style w:type="paragraph" w:styleId="BodyTextIndent">
    <w:name w:val="Body Text Indent"/>
    <w:basedOn w:val="Normal"/>
    <w:rsid w:val="00E5319C"/>
    <w:pPr>
      <w:ind w:firstLine="708"/>
      <w:jc w:val="both"/>
    </w:pPr>
  </w:style>
  <w:style w:type="paragraph" w:styleId="BodyText">
    <w:name w:val="Body Text"/>
    <w:basedOn w:val="Normal"/>
    <w:link w:val="BodyTextChar"/>
    <w:qFormat/>
    <w:rsid w:val="00E5319C"/>
    <w:pPr>
      <w:jc w:val="both"/>
    </w:pPr>
  </w:style>
  <w:style w:type="paragraph" w:styleId="BodyTextIndent2">
    <w:name w:val="Body Text Indent 2"/>
    <w:basedOn w:val="Normal"/>
    <w:rsid w:val="00E5319C"/>
    <w:pPr>
      <w:ind w:firstLine="360"/>
      <w:jc w:val="both"/>
    </w:pPr>
  </w:style>
  <w:style w:type="paragraph" w:styleId="Header">
    <w:name w:val="header"/>
    <w:basedOn w:val="Normal"/>
    <w:rsid w:val="00555FAD"/>
    <w:pPr>
      <w:tabs>
        <w:tab w:val="center" w:pos="4536"/>
        <w:tab w:val="right" w:pos="9072"/>
      </w:tabs>
    </w:pPr>
  </w:style>
  <w:style w:type="paragraph" w:styleId="Footer">
    <w:name w:val="footer"/>
    <w:basedOn w:val="Normal"/>
    <w:rsid w:val="00555FAD"/>
    <w:pPr>
      <w:tabs>
        <w:tab w:val="center" w:pos="4536"/>
        <w:tab w:val="right" w:pos="9072"/>
      </w:tabs>
    </w:pPr>
  </w:style>
  <w:style w:type="table" w:styleId="TableGrid">
    <w:name w:val="Table Grid"/>
    <w:basedOn w:val="TableNormal"/>
    <w:rsid w:val="007633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5F72FD"/>
    <w:rPr>
      <w:sz w:val="20"/>
      <w:szCs w:val="20"/>
    </w:rPr>
  </w:style>
  <w:style w:type="character" w:styleId="FootnoteReference">
    <w:name w:val="footnote reference"/>
    <w:semiHidden/>
    <w:rsid w:val="005F72FD"/>
    <w:rPr>
      <w:vertAlign w:val="superscript"/>
    </w:rPr>
  </w:style>
  <w:style w:type="paragraph" w:styleId="BalloonText">
    <w:name w:val="Balloon Text"/>
    <w:basedOn w:val="Normal"/>
    <w:semiHidden/>
    <w:rsid w:val="00FB2C8A"/>
    <w:rPr>
      <w:rFonts w:ascii="Tahoma" w:hAnsi="Tahoma" w:cs="Tahoma"/>
      <w:sz w:val="16"/>
      <w:szCs w:val="16"/>
    </w:rPr>
  </w:style>
  <w:style w:type="character" w:customStyle="1" w:styleId="ZkladntextChar">
    <w:name w:val="Základný text Char"/>
    <w:rsid w:val="00D977CC"/>
    <w:rPr>
      <w:color w:val="000000"/>
      <w:sz w:val="24"/>
      <w:lang w:val="cs-CZ" w:eastAsia="sk-SK" w:bidi="ar-SA"/>
    </w:rPr>
  </w:style>
  <w:style w:type="character" w:styleId="PageNumber">
    <w:name w:val="page number"/>
    <w:basedOn w:val="DefaultParagraphFont"/>
    <w:rsid w:val="00D977CC"/>
  </w:style>
  <w:style w:type="character" w:customStyle="1" w:styleId="BodyTextChar">
    <w:name w:val="Body Text Char"/>
    <w:link w:val="BodyText"/>
    <w:rsid w:val="00F03B1A"/>
    <w:rPr>
      <w:sz w:val="24"/>
      <w:szCs w:val="24"/>
    </w:rPr>
  </w:style>
  <w:style w:type="character" w:customStyle="1" w:styleId="Zkladntext2">
    <w:name w:val="Základní text (2)_"/>
    <w:basedOn w:val="DefaultParagraphFont"/>
    <w:link w:val="Zkladntext20"/>
    <w:rsid w:val="00F41B75"/>
    <w:rPr>
      <w:sz w:val="21"/>
      <w:szCs w:val="21"/>
      <w:shd w:val="clear" w:color="auto" w:fill="FFFFFF"/>
    </w:rPr>
  </w:style>
  <w:style w:type="character" w:customStyle="1" w:styleId="Zkladntext265pt">
    <w:name w:val="Základní text (2) + 6;5 pt"/>
    <w:basedOn w:val="Zkladntext2"/>
    <w:rsid w:val="00F41B75"/>
    <w:rPr>
      <w:color w:val="000000"/>
      <w:spacing w:val="0"/>
      <w:w w:val="100"/>
      <w:position w:val="0"/>
      <w:sz w:val="13"/>
      <w:szCs w:val="13"/>
      <w:shd w:val="clear" w:color="auto" w:fill="FFFFFF"/>
      <w:lang w:val="sk-SK" w:eastAsia="sk-SK" w:bidi="sk-SK"/>
    </w:rPr>
  </w:style>
  <w:style w:type="paragraph" w:customStyle="1" w:styleId="Zkladntext20">
    <w:name w:val="Základní text (2)"/>
    <w:basedOn w:val="Normal"/>
    <w:link w:val="Zkladntext2"/>
    <w:rsid w:val="00F41B75"/>
    <w:pPr>
      <w:widowControl w:val="0"/>
      <w:shd w:val="clear" w:color="auto" w:fill="FFFFFF"/>
      <w:spacing w:after="260" w:line="232" w:lineRule="exact"/>
      <w:ind w:hanging="700"/>
      <w:jc w:val="center"/>
    </w:pPr>
    <w:rPr>
      <w:sz w:val="21"/>
      <w:szCs w:val="21"/>
    </w:rPr>
  </w:style>
  <w:style w:type="paragraph" w:customStyle="1" w:styleId="TableNormal1">
    <w:name w:val="Table Normal1"/>
    <w:basedOn w:val="Normal"/>
    <w:link w:val="NormalTableChar"/>
    <w:qFormat/>
    <w:rsid w:val="00F41B75"/>
    <w:rPr>
      <w:rFonts w:asciiTheme="minorHAnsi" w:hAnsiTheme="minorHAnsi"/>
      <w:sz w:val="18"/>
      <w:szCs w:val="20"/>
      <w:lang w:val="en-US" w:eastAsia="en-US"/>
    </w:rPr>
  </w:style>
  <w:style w:type="character" w:customStyle="1" w:styleId="NormalTableChar">
    <w:name w:val="Normal Table Char"/>
    <w:basedOn w:val="DefaultParagraphFont"/>
    <w:link w:val="TableNormal1"/>
    <w:rsid w:val="00F41B75"/>
    <w:rPr>
      <w:rFonts w:asciiTheme="minorHAnsi" w:hAnsiTheme="minorHAnsi"/>
      <w:sz w:val="18"/>
      <w:lang w:val="en-US" w:eastAsia="en-US"/>
    </w:rPr>
  </w:style>
  <w:style w:type="table" w:customStyle="1" w:styleId="MediumGrid31">
    <w:name w:val="Medium Grid 31"/>
    <w:basedOn w:val="TableNormal"/>
    <w:uiPriority w:val="69"/>
    <w:rsid w:val="00F41B75"/>
    <w:rPr>
      <w:rFonts w:asciiTheme="minorHAnsi" w:eastAsiaTheme="minorHAnsi" w:hAnsiTheme="minorHAnsi" w:cstheme="minorBidi"/>
      <w:sz w:val="22"/>
      <w:szCs w:val="22"/>
      <w:lang w:val="en-US"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paragraph" w:styleId="ListParagraph">
    <w:name w:val="List Paragraph"/>
    <w:basedOn w:val="Normal"/>
    <w:uiPriority w:val="99"/>
    <w:qFormat/>
    <w:rsid w:val="00F41B75"/>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UnresolvedMention1">
    <w:name w:val="Unresolved Mention1"/>
    <w:basedOn w:val="DefaultParagraphFont"/>
    <w:uiPriority w:val="99"/>
    <w:semiHidden/>
    <w:unhideWhenUsed/>
    <w:rsid w:val="00924C21"/>
    <w:rPr>
      <w:color w:val="808080"/>
      <w:shd w:val="clear" w:color="auto" w:fill="E6E6E6"/>
    </w:rPr>
  </w:style>
  <w:style w:type="paragraph" w:styleId="NormalWeb">
    <w:name w:val="Normal (Web)"/>
    <w:basedOn w:val="Normal"/>
    <w:uiPriority w:val="99"/>
    <w:unhideWhenUsed/>
    <w:rsid w:val="003D11CC"/>
    <w:pPr>
      <w:spacing w:before="100" w:beforeAutospacing="1" w:after="100" w:afterAutospacing="1"/>
    </w:pPr>
  </w:style>
  <w:style w:type="character" w:styleId="Strong">
    <w:name w:val="Strong"/>
    <w:basedOn w:val="DefaultParagraphFont"/>
    <w:uiPriority w:val="22"/>
    <w:qFormat/>
    <w:rsid w:val="003D11CC"/>
    <w:rPr>
      <w:b/>
      <w:bCs/>
    </w:rPr>
  </w:style>
  <w:style w:type="character" w:customStyle="1" w:styleId="Heading3Char">
    <w:name w:val="Heading 3 Char"/>
    <w:basedOn w:val="DefaultParagraphFont"/>
    <w:link w:val="Heading3"/>
    <w:semiHidden/>
    <w:rsid w:val="00F3138B"/>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semiHidden/>
    <w:rsid w:val="00F3138B"/>
    <w:rPr>
      <w:rFonts w:asciiTheme="majorHAnsi" w:eastAsiaTheme="majorEastAsia" w:hAnsiTheme="majorHAnsi" w:cstheme="majorBidi"/>
      <w:color w:val="365F91" w:themeColor="accent1" w:themeShade="BF"/>
      <w:sz w:val="24"/>
      <w:szCs w:val="24"/>
    </w:rPr>
  </w:style>
  <w:style w:type="character" w:customStyle="1" w:styleId="Heading6Char">
    <w:name w:val="Heading 6 Char"/>
    <w:basedOn w:val="DefaultParagraphFont"/>
    <w:link w:val="Heading6"/>
    <w:semiHidden/>
    <w:rsid w:val="00F3138B"/>
    <w:rPr>
      <w:rFonts w:asciiTheme="majorHAnsi" w:eastAsiaTheme="majorEastAsia" w:hAnsiTheme="majorHAnsi" w:cstheme="majorBidi"/>
      <w:color w:val="243F60" w:themeColor="accent1" w:themeShade="7F"/>
      <w:sz w:val="24"/>
      <w:szCs w:val="24"/>
    </w:rPr>
  </w:style>
  <w:style w:type="paragraph" w:styleId="Caption">
    <w:name w:val="caption"/>
    <w:basedOn w:val="Normal"/>
    <w:next w:val="Normal"/>
    <w:unhideWhenUsed/>
    <w:qFormat/>
    <w:rsid w:val="00997D68"/>
    <w:pPr>
      <w:spacing w:after="200"/>
    </w:pPr>
    <w:rPr>
      <w:i/>
      <w:iCs/>
      <w:color w:val="1F497D" w:themeColor="text2"/>
      <w:sz w:val="18"/>
      <w:szCs w:val="18"/>
    </w:rPr>
  </w:style>
  <w:style w:type="table" w:customStyle="1" w:styleId="GridTableLight">
    <w:name w:val="Grid Table Light"/>
    <w:basedOn w:val="TableNormal"/>
    <w:uiPriority w:val="40"/>
    <w:rsid w:val="00BF0B4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k-SK" w:eastAsia="sk-SK"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Body Text"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iPriority="22"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19C"/>
    <w:rPr>
      <w:sz w:val="24"/>
      <w:szCs w:val="24"/>
    </w:rPr>
  </w:style>
  <w:style w:type="paragraph" w:styleId="Heading1">
    <w:name w:val="heading 1"/>
    <w:basedOn w:val="Normal"/>
    <w:next w:val="Normal"/>
    <w:qFormat/>
    <w:rsid w:val="00E5319C"/>
    <w:pPr>
      <w:keepNext/>
      <w:jc w:val="center"/>
      <w:outlineLvl w:val="0"/>
    </w:pPr>
    <w:rPr>
      <w:b/>
    </w:rPr>
  </w:style>
  <w:style w:type="paragraph" w:styleId="Heading3">
    <w:name w:val="heading 3"/>
    <w:basedOn w:val="Normal"/>
    <w:next w:val="Normal"/>
    <w:link w:val="Heading3Char"/>
    <w:semiHidden/>
    <w:unhideWhenUsed/>
    <w:qFormat/>
    <w:rsid w:val="00F3138B"/>
    <w:pPr>
      <w:keepNext/>
      <w:keepLines/>
      <w:spacing w:before="40"/>
      <w:outlineLvl w:val="2"/>
    </w:pPr>
    <w:rPr>
      <w:rFonts w:asciiTheme="majorHAnsi" w:eastAsiaTheme="majorEastAsia" w:hAnsiTheme="majorHAnsi" w:cstheme="majorBidi"/>
      <w:color w:val="243F60" w:themeColor="accent1" w:themeShade="7F"/>
    </w:rPr>
  </w:style>
  <w:style w:type="paragraph" w:styleId="Heading5">
    <w:name w:val="heading 5"/>
    <w:basedOn w:val="Normal"/>
    <w:next w:val="Normal"/>
    <w:link w:val="Heading5Char"/>
    <w:semiHidden/>
    <w:unhideWhenUsed/>
    <w:qFormat/>
    <w:rsid w:val="00F3138B"/>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F3138B"/>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5319C"/>
    <w:rPr>
      <w:color w:val="0000FF"/>
      <w:u w:val="single"/>
    </w:rPr>
  </w:style>
  <w:style w:type="paragraph" w:styleId="BodyTextIndent">
    <w:name w:val="Body Text Indent"/>
    <w:basedOn w:val="Normal"/>
    <w:rsid w:val="00E5319C"/>
    <w:pPr>
      <w:ind w:firstLine="708"/>
      <w:jc w:val="both"/>
    </w:pPr>
  </w:style>
  <w:style w:type="paragraph" w:styleId="BodyText">
    <w:name w:val="Body Text"/>
    <w:basedOn w:val="Normal"/>
    <w:link w:val="BodyTextChar"/>
    <w:qFormat/>
    <w:rsid w:val="00E5319C"/>
    <w:pPr>
      <w:jc w:val="both"/>
    </w:pPr>
  </w:style>
  <w:style w:type="paragraph" w:styleId="BodyTextIndent2">
    <w:name w:val="Body Text Indent 2"/>
    <w:basedOn w:val="Normal"/>
    <w:rsid w:val="00E5319C"/>
    <w:pPr>
      <w:ind w:firstLine="360"/>
      <w:jc w:val="both"/>
    </w:pPr>
  </w:style>
  <w:style w:type="paragraph" w:styleId="Header">
    <w:name w:val="header"/>
    <w:basedOn w:val="Normal"/>
    <w:rsid w:val="00555FAD"/>
    <w:pPr>
      <w:tabs>
        <w:tab w:val="center" w:pos="4536"/>
        <w:tab w:val="right" w:pos="9072"/>
      </w:tabs>
    </w:pPr>
  </w:style>
  <w:style w:type="paragraph" w:styleId="Footer">
    <w:name w:val="footer"/>
    <w:basedOn w:val="Normal"/>
    <w:rsid w:val="00555FAD"/>
    <w:pPr>
      <w:tabs>
        <w:tab w:val="center" w:pos="4536"/>
        <w:tab w:val="right" w:pos="9072"/>
      </w:tabs>
    </w:pPr>
  </w:style>
  <w:style w:type="table" w:styleId="TableGrid">
    <w:name w:val="Table Grid"/>
    <w:basedOn w:val="TableNormal"/>
    <w:rsid w:val="007633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5F72FD"/>
    <w:rPr>
      <w:sz w:val="20"/>
      <w:szCs w:val="20"/>
    </w:rPr>
  </w:style>
  <w:style w:type="character" w:styleId="FootnoteReference">
    <w:name w:val="footnote reference"/>
    <w:semiHidden/>
    <w:rsid w:val="005F72FD"/>
    <w:rPr>
      <w:vertAlign w:val="superscript"/>
    </w:rPr>
  </w:style>
  <w:style w:type="paragraph" w:styleId="BalloonText">
    <w:name w:val="Balloon Text"/>
    <w:basedOn w:val="Normal"/>
    <w:semiHidden/>
    <w:rsid w:val="00FB2C8A"/>
    <w:rPr>
      <w:rFonts w:ascii="Tahoma" w:hAnsi="Tahoma" w:cs="Tahoma"/>
      <w:sz w:val="16"/>
      <w:szCs w:val="16"/>
    </w:rPr>
  </w:style>
  <w:style w:type="character" w:customStyle="1" w:styleId="ZkladntextChar">
    <w:name w:val="Základný text Char"/>
    <w:rsid w:val="00D977CC"/>
    <w:rPr>
      <w:color w:val="000000"/>
      <w:sz w:val="24"/>
      <w:lang w:val="cs-CZ" w:eastAsia="sk-SK" w:bidi="ar-SA"/>
    </w:rPr>
  </w:style>
  <w:style w:type="character" w:styleId="PageNumber">
    <w:name w:val="page number"/>
    <w:basedOn w:val="DefaultParagraphFont"/>
    <w:rsid w:val="00D977CC"/>
  </w:style>
  <w:style w:type="character" w:customStyle="1" w:styleId="BodyTextChar">
    <w:name w:val="Body Text Char"/>
    <w:link w:val="BodyText"/>
    <w:rsid w:val="00F03B1A"/>
    <w:rPr>
      <w:sz w:val="24"/>
      <w:szCs w:val="24"/>
    </w:rPr>
  </w:style>
  <w:style w:type="character" w:customStyle="1" w:styleId="Zkladntext2">
    <w:name w:val="Základní text (2)_"/>
    <w:basedOn w:val="DefaultParagraphFont"/>
    <w:link w:val="Zkladntext20"/>
    <w:rsid w:val="00F41B75"/>
    <w:rPr>
      <w:sz w:val="21"/>
      <w:szCs w:val="21"/>
      <w:shd w:val="clear" w:color="auto" w:fill="FFFFFF"/>
    </w:rPr>
  </w:style>
  <w:style w:type="character" w:customStyle="1" w:styleId="Zkladntext265pt">
    <w:name w:val="Základní text (2) + 6;5 pt"/>
    <w:basedOn w:val="Zkladntext2"/>
    <w:rsid w:val="00F41B75"/>
    <w:rPr>
      <w:color w:val="000000"/>
      <w:spacing w:val="0"/>
      <w:w w:val="100"/>
      <w:position w:val="0"/>
      <w:sz w:val="13"/>
      <w:szCs w:val="13"/>
      <w:shd w:val="clear" w:color="auto" w:fill="FFFFFF"/>
      <w:lang w:val="sk-SK" w:eastAsia="sk-SK" w:bidi="sk-SK"/>
    </w:rPr>
  </w:style>
  <w:style w:type="paragraph" w:customStyle="1" w:styleId="Zkladntext20">
    <w:name w:val="Základní text (2)"/>
    <w:basedOn w:val="Normal"/>
    <w:link w:val="Zkladntext2"/>
    <w:rsid w:val="00F41B75"/>
    <w:pPr>
      <w:widowControl w:val="0"/>
      <w:shd w:val="clear" w:color="auto" w:fill="FFFFFF"/>
      <w:spacing w:after="260" w:line="232" w:lineRule="exact"/>
      <w:ind w:hanging="700"/>
      <w:jc w:val="center"/>
    </w:pPr>
    <w:rPr>
      <w:sz w:val="21"/>
      <w:szCs w:val="21"/>
    </w:rPr>
  </w:style>
  <w:style w:type="paragraph" w:customStyle="1" w:styleId="TableNormal1">
    <w:name w:val="Table Normal1"/>
    <w:basedOn w:val="Normal"/>
    <w:link w:val="NormalTableChar"/>
    <w:qFormat/>
    <w:rsid w:val="00F41B75"/>
    <w:rPr>
      <w:rFonts w:asciiTheme="minorHAnsi" w:hAnsiTheme="minorHAnsi"/>
      <w:sz w:val="18"/>
      <w:szCs w:val="20"/>
      <w:lang w:val="en-US" w:eastAsia="en-US"/>
    </w:rPr>
  </w:style>
  <w:style w:type="character" w:customStyle="1" w:styleId="NormalTableChar">
    <w:name w:val="Normal Table Char"/>
    <w:basedOn w:val="DefaultParagraphFont"/>
    <w:link w:val="TableNormal1"/>
    <w:rsid w:val="00F41B75"/>
    <w:rPr>
      <w:rFonts w:asciiTheme="minorHAnsi" w:hAnsiTheme="minorHAnsi"/>
      <w:sz w:val="18"/>
      <w:lang w:val="en-US" w:eastAsia="en-US"/>
    </w:rPr>
  </w:style>
  <w:style w:type="table" w:customStyle="1" w:styleId="MediumGrid31">
    <w:name w:val="Medium Grid 31"/>
    <w:basedOn w:val="TableNormal"/>
    <w:uiPriority w:val="69"/>
    <w:rsid w:val="00F41B75"/>
    <w:rPr>
      <w:rFonts w:asciiTheme="minorHAnsi" w:eastAsiaTheme="minorHAnsi" w:hAnsiTheme="minorHAnsi" w:cstheme="minorBidi"/>
      <w:sz w:val="22"/>
      <w:szCs w:val="22"/>
      <w:lang w:val="en-US"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paragraph" w:styleId="ListParagraph">
    <w:name w:val="List Paragraph"/>
    <w:basedOn w:val="Normal"/>
    <w:uiPriority w:val="99"/>
    <w:qFormat/>
    <w:rsid w:val="00F41B75"/>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UnresolvedMention1">
    <w:name w:val="Unresolved Mention1"/>
    <w:basedOn w:val="DefaultParagraphFont"/>
    <w:uiPriority w:val="99"/>
    <w:semiHidden/>
    <w:unhideWhenUsed/>
    <w:rsid w:val="00924C21"/>
    <w:rPr>
      <w:color w:val="808080"/>
      <w:shd w:val="clear" w:color="auto" w:fill="E6E6E6"/>
    </w:rPr>
  </w:style>
  <w:style w:type="paragraph" w:styleId="NormalWeb">
    <w:name w:val="Normal (Web)"/>
    <w:basedOn w:val="Normal"/>
    <w:uiPriority w:val="99"/>
    <w:unhideWhenUsed/>
    <w:rsid w:val="003D11CC"/>
    <w:pPr>
      <w:spacing w:before="100" w:beforeAutospacing="1" w:after="100" w:afterAutospacing="1"/>
    </w:pPr>
  </w:style>
  <w:style w:type="character" w:styleId="Strong">
    <w:name w:val="Strong"/>
    <w:basedOn w:val="DefaultParagraphFont"/>
    <w:uiPriority w:val="22"/>
    <w:qFormat/>
    <w:rsid w:val="003D11CC"/>
    <w:rPr>
      <w:b/>
      <w:bCs/>
    </w:rPr>
  </w:style>
  <w:style w:type="character" w:customStyle="1" w:styleId="Heading3Char">
    <w:name w:val="Heading 3 Char"/>
    <w:basedOn w:val="DefaultParagraphFont"/>
    <w:link w:val="Heading3"/>
    <w:semiHidden/>
    <w:rsid w:val="00F3138B"/>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semiHidden/>
    <w:rsid w:val="00F3138B"/>
    <w:rPr>
      <w:rFonts w:asciiTheme="majorHAnsi" w:eastAsiaTheme="majorEastAsia" w:hAnsiTheme="majorHAnsi" w:cstheme="majorBidi"/>
      <w:color w:val="365F91" w:themeColor="accent1" w:themeShade="BF"/>
      <w:sz w:val="24"/>
      <w:szCs w:val="24"/>
    </w:rPr>
  </w:style>
  <w:style w:type="character" w:customStyle="1" w:styleId="Heading6Char">
    <w:name w:val="Heading 6 Char"/>
    <w:basedOn w:val="DefaultParagraphFont"/>
    <w:link w:val="Heading6"/>
    <w:semiHidden/>
    <w:rsid w:val="00F3138B"/>
    <w:rPr>
      <w:rFonts w:asciiTheme="majorHAnsi" w:eastAsiaTheme="majorEastAsia" w:hAnsiTheme="majorHAnsi" w:cstheme="majorBidi"/>
      <w:color w:val="243F60" w:themeColor="accent1" w:themeShade="7F"/>
      <w:sz w:val="24"/>
      <w:szCs w:val="24"/>
    </w:rPr>
  </w:style>
  <w:style w:type="paragraph" w:styleId="Caption">
    <w:name w:val="caption"/>
    <w:basedOn w:val="Normal"/>
    <w:next w:val="Normal"/>
    <w:unhideWhenUsed/>
    <w:qFormat/>
    <w:rsid w:val="00997D68"/>
    <w:pPr>
      <w:spacing w:after="200"/>
    </w:pPr>
    <w:rPr>
      <w:i/>
      <w:iCs/>
      <w:color w:val="1F497D" w:themeColor="text2"/>
      <w:sz w:val="18"/>
      <w:szCs w:val="18"/>
    </w:rPr>
  </w:style>
  <w:style w:type="table" w:customStyle="1" w:styleId="GridTableLight">
    <w:name w:val="Grid Table Light"/>
    <w:basedOn w:val="TableNormal"/>
    <w:uiPriority w:val="40"/>
    <w:rsid w:val="00BF0B4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401921">
      <w:bodyDiv w:val="1"/>
      <w:marLeft w:val="0"/>
      <w:marRight w:val="0"/>
      <w:marTop w:val="0"/>
      <w:marBottom w:val="0"/>
      <w:divBdr>
        <w:top w:val="none" w:sz="0" w:space="0" w:color="auto"/>
        <w:left w:val="none" w:sz="0" w:space="0" w:color="auto"/>
        <w:bottom w:val="none" w:sz="0" w:space="0" w:color="auto"/>
        <w:right w:val="none" w:sz="0" w:space="0" w:color="auto"/>
      </w:divBdr>
    </w:div>
    <w:div w:id="381096449">
      <w:bodyDiv w:val="1"/>
      <w:marLeft w:val="0"/>
      <w:marRight w:val="0"/>
      <w:marTop w:val="0"/>
      <w:marBottom w:val="0"/>
      <w:divBdr>
        <w:top w:val="none" w:sz="0" w:space="0" w:color="auto"/>
        <w:left w:val="none" w:sz="0" w:space="0" w:color="auto"/>
        <w:bottom w:val="none" w:sz="0" w:space="0" w:color="auto"/>
        <w:right w:val="none" w:sz="0" w:space="0" w:color="auto"/>
      </w:divBdr>
    </w:div>
    <w:div w:id="681519099">
      <w:bodyDiv w:val="1"/>
      <w:marLeft w:val="0"/>
      <w:marRight w:val="0"/>
      <w:marTop w:val="0"/>
      <w:marBottom w:val="0"/>
      <w:divBdr>
        <w:top w:val="none" w:sz="0" w:space="0" w:color="auto"/>
        <w:left w:val="none" w:sz="0" w:space="0" w:color="auto"/>
        <w:bottom w:val="none" w:sz="0" w:space="0" w:color="auto"/>
        <w:right w:val="none" w:sz="0" w:space="0" w:color="auto"/>
      </w:divBdr>
    </w:div>
    <w:div w:id="799693090">
      <w:bodyDiv w:val="1"/>
      <w:marLeft w:val="0"/>
      <w:marRight w:val="0"/>
      <w:marTop w:val="0"/>
      <w:marBottom w:val="0"/>
      <w:divBdr>
        <w:top w:val="none" w:sz="0" w:space="0" w:color="auto"/>
        <w:left w:val="none" w:sz="0" w:space="0" w:color="auto"/>
        <w:bottom w:val="none" w:sz="0" w:space="0" w:color="auto"/>
        <w:right w:val="none" w:sz="0" w:space="0" w:color="auto"/>
      </w:divBdr>
    </w:div>
    <w:div w:id="848252452">
      <w:bodyDiv w:val="1"/>
      <w:marLeft w:val="0"/>
      <w:marRight w:val="0"/>
      <w:marTop w:val="0"/>
      <w:marBottom w:val="0"/>
      <w:divBdr>
        <w:top w:val="none" w:sz="0" w:space="0" w:color="auto"/>
        <w:left w:val="none" w:sz="0" w:space="0" w:color="auto"/>
        <w:bottom w:val="none" w:sz="0" w:space="0" w:color="auto"/>
        <w:right w:val="none" w:sz="0" w:space="0" w:color="auto"/>
      </w:divBdr>
    </w:div>
    <w:div w:id="1014575464">
      <w:bodyDiv w:val="1"/>
      <w:marLeft w:val="0"/>
      <w:marRight w:val="0"/>
      <w:marTop w:val="0"/>
      <w:marBottom w:val="0"/>
      <w:divBdr>
        <w:top w:val="none" w:sz="0" w:space="0" w:color="auto"/>
        <w:left w:val="none" w:sz="0" w:space="0" w:color="auto"/>
        <w:bottom w:val="none" w:sz="0" w:space="0" w:color="auto"/>
        <w:right w:val="none" w:sz="0" w:space="0" w:color="auto"/>
      </w:divBdr>
    </w:div>
    <w:div w:id="1090345860">
      <w:bodyDiv w:val="1"/>
      <w:marLeft w:val="0"/>
      <w:marRight w:val="0"/>
      <w:marTop w:val="0"/>
      <w:marBottom w:val="0"/>
      <w:divBdr>
        <w:top w:val="none" w:sz="0" w:space="0" w:color="auto"/>
        <w:left w:val="none" w:sz="0" w:space="0" w:color="auto"/>
        <w:bottom w:val="none" w:sz="0" w:space="0" w:color="auto"/>
        <w:right w:val="none" w:sz="0" w:space="0" w:color="auto"/>
      </w:divBdr>
    </w:div>
    <w:div w:id="1449616333">
      <w:bodyDiv w:val="1"/>
      <w:marLeft w:val="0"/>
      <w:marRight w:val="0"/>
      <w:marTop w:val="0"/>
      <w:marBottom w:val="0"/>
      <w:divBdr>
        <w:top w:val="none" w:sz="0" w:space="0" w:color="auto"/>
        <w:left w:val="none" w:sz="0" w:space="0" w:color="auto"/>
        <w:bottom w:val="none" w:sz="0" w:space="0" w:color="auto"/>
        <w:right w:val="none" w:sz="0" w:space="0" w:color="auto"/>
      </w:divBdr>
    </w:div>
    <w:div w:id="1483080850">
      <w:bodyDiv w:val="1"/>
      <w:marLeft w:val="0"/>
      <w:marRight w:val="0"/>
      <w:marTop w:val="0"/>
      <w:marBottom w:val="0"/>
      <w:divBdr>
        <w:top w:val="none" w:sz="0" w:space="0" w:color="auto"/>
        <w:left w:val="none" w:sz="0" w:space="0" w:color="auto"/>
        <w:bottom w:val="none" w:sz="0" w:space="0" w:color="auto"/>
        <w:right w:val="none" w:sz="0" w:space="0" w:color="auto"/>
      </w:divBdr>
    </w:div>
    <w:div w:id="1583491789">
      <w:bodyDiv w:val="1"/>
      <w:marLeft w:val="0"/>
      <w:marRight w:val="0"/>
      <w:marTop w:val="0"/>
      <w:marBottom w:val="0"/>
      <w:divBdr>
        <w:top w:val="none" w:sz="0" w:space="0" w:color="auto"/>
        <w:left w:val="none" w:sz="0" w:space="0" w:color="auto"/>
        <w:bottom w:val="none" w:sz="0" w:space="0" w:color="auto"/>
        <w:right w:val="none" w:sz="0" w:space="0" w:color="auto"/>
      </w:divBdr>
    </w:div>
    <w:div w:id="1657949448">
      <w:bodyDiv w:val="1"/>
      <w:marLeft w:val="0"/>
      <w:marRight w:val="0"/>
      <w:marTop w:val="0"/>
      <w:marBottom w:val="0"/>
      <w:divBdr>
        <w:top w:val="none" w:sz="0" w:space="0" w:color="auto"/>
        <w:left w:val="none" w:sz="0" w:space="0" w:color="auto"/>
        <w:bottom w:val="none" w:sz="0" w:space="0" w:color="auto"/>
        <w:right w:val="none" w:sz="0" w:space="0" w:color="auto"/>
      </w:divBdr>
    </w:div>
    <w:div w:id="173311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7.emf"/><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emf"/><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harmin.sk/sk/studie-realnej-klinickej-praxe-2018-polycytemia-vera/" TargetMode="External"/><Relationship Id="rId24" Type="http://schemas.openxmlformats.org/officeDocument/2006/relationships/image" Target="media/image13.png"/><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8.emf"/><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image" Target="media/image11.png"/><Relationship Id="rId27"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1731EB-7D73-4BCB-89A5-07B3CB460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9459</Words>
  <Characters>53922</Characters>
  <Application>Microsoft Office Word</Application>
  <DocSecurity>0</DocSecurity>
  <Lines>449</Lines>
  <Paragraphs>126</Paragraphs>
  <ScaleCrop>false</ScaleCrop>
  <HeadingPairs>
    <vt:vector size="6" baseType="variant">
      <vt:variant>
        <vt:lpstr>Title</vt:lpstr>
      </vt:variant>
      <vt:variant>
        <vt:i4>1</vt:i4>
      </vt:variant>
      <vt:variant>
        <vt:lpstr>Názov</vt:lpstr>
      </vt:variant>
      <vt:variant>
        <vt:i4>1</vt:i4>
      </vt:variant>
      <vt:variant>
        <vt:lpstr>Název</vt:lpstr>
      </vt:variant>
      <vt:variant>
        <vt:i4>1</vt:i4>
      </vt:variant>
    </vt:vector>
  </HeadingPairs>
  <TitlesOfParts>
    <vt:vector size="3" baseType="lpstr">
      <vt:lpstr>Návrh</vt:lpstr>
      <vt:lpstr>Návrh</vt:lpstr>
      <vt:lpstr>Návrh</vt:lpstr>
    </vt:vector>
  </TitlesOfParts>
  <Company>SUKL</Company>
  <LinksUpToDate>false</LinksUpToDate>
  <CharactersWithSpaces>63255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dc:title>
  <dc:creator>MZ SR</dc:creator>
  <cp:lastModifiedBy>Borsky, Martin</cp:lastModifiedBy>
  <cp:revision>2</cp:revision>
  <cp:lastPrinted>2018-03-27T14:09:00Z</cp:lastPrinted>
  <dcterms:created xsi:type="dcterms:W3CDTF">2018-03-28T11:16:00Z</dcterms:created>
  <dcterms:modified xsi:type="dcterms:W3CDTF">2018-03-28T11:16:00Z</dcterms:modified>
</cp:coreProperties>
</file>